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70" w:rsidRDefault="00585D70" w:rsidP="00585D70"/>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 xml:space="preserve">Guatemala, </w:t>
      </w:r>
      <w:r w:rsidR="00374E3B">
        <w:rPr>
          <w:rFonts w:ascii="Arial" w:hAnsi="Arial" w:cs="Arial"/>
          <w:b/>
        </w:rPr>
        <w:t>Junio</w:t>
      </w:r>
      <w:r w:rsidR="000A27C5">
        <w:rPr>
          <w:rFonts w:ascii="Arial" w:hAnsi="Arial" w:cs="Arial"/>
          <w:b/>
        </w:rPr>
        <w:t xml:space="preserve"> </w:t>
      </w:r>
      <w:r>
        <w:rPr>
          <w:rFonts w:ascii="Arial" w:hAnsi="Arial" w:cs="Arial"/>
          <w:b/>
        </w:rPr>
        <w:t xml:space="preserve">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070796" w:rsidRDefault="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60201961" w:history="1">
            <w:r w:rsidR="00070796" w:rsidRPr="004350C9">
              <w:rPr>
                <w:rStyle w:val="Hipervnculo"/>
                <w:b/>
                <w:noProof/>
              </w:rPr>
              <w:t>a)</w:t>
            </w:r>
            <w:r w:rsidR="00070796">
              <w:rPr>
                <w:rFonts w:eastAsiaTheme="minorEastAsia"/>
                <w:noProof/>
                <w:sz w:val="22"/>
                <w:szCs w:val="22"/>
                <w:lang w:eastAsia="es-GT"/>
              </w:rPr>
              <w:tab/>
            </w:r>
            <w:r w:rsidR="00070796" w:rsidRPr="004350C9">
              <w:rPr>
                <w:rStyle w:val="Hipervnculo"/>
                <w:b/>
                <w:noProof/>
              </w:rPr>
              <w:t>Antecedentes</w:t>
            </w:r>
            <w:r w:rsidR="00070796">
              <w:rPr>
                <w:noProof/>
                <w:webHidden/>
              </w:rPr>
              <w:tab/>
            </w:r>
            <w:r w:rsidR="00070796">
              <w:rPr>
                <w:noProof/>
                <w:webHidden/>
              </w:rPr>
              <w:fldChar w:fldCharType="begin"/>
            </w:r>
            <w:r w:rsidR="00070796">
              <w:rPr>
                <w:noProof/>
                <w:webHidden/>
              </w:rPr>
              <w:instrText xml:space="preserve"> PAGEREF _Toc160201961 \h </w:instrText>
            </w:r>
            <w:r w:rsidR="00070796">
              <w:rPr>
                <w:noProof/>
                <w:webHidden/>
              </w:rPr>
            </w:r>
            <w:r w:rsidR="00070796">
              <w:rPr>
                <w:noProof/>
                <w:webHidden/>
              </w:rPr>
              <w:fldChar w:fldCharType="separate"/>
            </w:r>
            <w:r w:rsidR="00A971CD">
              <w:rPr>
                <w:noProof/>
                <w:webHidden/>
              </w:rPr>
              <w:t>3</w:t>
            </w:r>
            <w:r w:rsidR="00070796">
              <w:rPr>
                <w:noProof/>
                <w:webHidden/>
              </w:rPr>
              <w:fldChar w:fldCharType="end"/>
            </w:r>
          </w:hyperlink>
        </w:p>
        <w:p w:rsidR="00070796" w:rsidRDefault="00981978">
          <w:pPr>
            <w:pStyle w:val="TDC1"/>
            <w:rPr>
              <w:rFonts w:eastAsiaTheme="minorEastAsia"/>
              <w:noProof/>
              <w:sz w:val="22"/>
              <w:szCs w:val="22"/>
              <w:lang w:eastAsia="es-GT"/>
            </w:rPr>
          </w:pPr>
          <w:hyperlink w:anchor="_Toc160201962" w:history="1">
            <w:r w:rsidR="00070796" w:rsidRPr="004350C9">
              <w:rPr>
                <w:rStyle w:val="Hipervnculo"/>
                <w:b/>
                <w:noProof/>
              </w:rPr>
              <w:t>b)</w:t>
            </w:r>
            <w:r w:rsidR="00070796">
              <w:rPr>
                <w:rFonts w:eastAsiaTheme="minorEastAsia"/>
                <w:noProof/>
                <w:sz w:val="22"/>
                <w:szCs w:val="22"/>
                <w:lang w:eastAsia="es-GT"/>
              </w:rPr>
              <w:tab/>
            </w:r>
            <w:r w:rsidR="00070796" w:rsidRPr="004350C9">
              <w:rPr>
                <w:rStyle w:val="Hipervnculo"/>
                <w:b/>
                <w:noProof/>
              </w:rPr>
              <w:t>Elaboración del Informe</w:t>
            </w:r>
            <w:r w:rsidR="00070796">
              <w:rPr>
                <w:noProof/>
                <w:webHidden/>
              </w:rPr>
              <w:tab/>
            </w:r>
            <w:r w:rsidR="00070796">
              <w:rPr>
                <w:noProof/>
                <w:webHidden/>
              </w:rPr>
              <w:fldChar w:fldCharType="begin"/>
            </w:r>
            <w:r w:rsidR="00070796">
              <w:rPr>
                <w:noProof/>
                <w:webHidden/>
              </w:rPr>
              <w:instrText xml:space="preserve"> PAGEREF _Toc160201962 \h </w:instrText>
            </w:r>
            <w:r w:rsidR="00070796">
              <w:rPr>
                <w:noProof/>
                <w:webHidden/>
              </w:rPr>
            </w:r>
            <w:r w:rsidR="00070796">
              <w:rPr>
                <w:noProof/>
                <w:webHidden/>
              </w:rPr>
              <w:fldChar w:fldCharType="separate"/>
            </w:r>
            <w:r w:rsidR="00A971CD">
              <w:rPr>
                <w:noProof/>
                <w:webHidden/>
              </w:rPr>
              <w:t>4</w:t>
            </w:r>
            <w:r w:rsidR="00070796">
              <w:rPr>
                <w:noProof/>
                <w:webHidden/>
              </w:rPr>
              <w:fldChar w:fldCharType="end"/>
            </w:r>
          </w:hyperlink>
        </w:p>
        <w:p w:rsidR="00070796" w:rsidRDefault="00981978">
          <w:pPr>
            <w:pStyle w:val="TDC2"/>
            <w:tabs>
              <w:tab w:val="left" w:pos="660"/>
              <w:tab w:val="right" w:leader="dot" w:pos="8828"/>
            </w:tabs>
            <w:rPr>
              <w:rStyle w:val="Hipervnculo"/>
              <w:noProof/>
            </w:rPr>
          </w:pPr>
          <w:hyperlink w:anchor="_Toc160201963" w:history="1">
            <w:r w:rsidR="00070796" w:rsidRPr="004350C9">
              <w:rPr>
                <w:rStyle w:val="Hipervnculo"/>
                <w:rFonts w:cs="Arial"/>
                <w:noProof/>
              </w:rPr>
              <w:t>1.</w:t>
            </w:r>
            <w:r w:rsidR="00070796">
              <w:rPr>
                <w:rFonts w:eastAsiaTheme="minorEastAsia"/>
                <w:noProof/>
                <w:sz w:val="22"/>
                <w:szCs w:val="22"/>
                <w:lang w:eastAsia="es-GT"/>
              </w:rPr>
              <w:tab/>
            </w:r>
            <w:r w:rsidR="00070796" w:rsidRPr="004350C9">
              <w:rPr>
                <w:rStyle w:val="Hipervnculo"/>
                <w:rFonts w:cs="Arial"/>
                <w:noProof/>
              </w:rPr>
              <w:t>Descripción de la recopilación de los datos</w:t>
            </w:r>
            <w:r w:rsidR="00070796">
              <w:rPr>
                <w:noProof/>
                <w:webHidden/>
              </w:rPr>
              <w:tab/>
            </w:r>
            <w:r w:rsidR="00070796">
              <w:rPr>
                <w:noProof/>
                <w:webHidden/>
              </w:rPr>
              <w:fldChar w:fldCharType="begin"/>
            </w:r>
            <w:r w:rsidR="00070796">
              <w:rPr>
                <w:noProof/>
                <w:webHidden/>
              </w:rPr>
              <w:instrText xml:space="preserve"> PAGEREF _Toc160201963 \h </w:instrText>
            </w:r>
            <w:r w:rsidR="00070796">
              <w:rPr>
                <w:noProof/>
                <w:webHidden/>
              </w:rPr>
            </w:r>
            <w:r w:rsidR="00070796">
              <w:rPr>
                <w:noProof/>
                <w:webHidden/>
              </w:rPr>
              <w:fldChar w:fldCharType="separate"/>
            </w:r>
            <w:r w:rsidR="00A971CD">
              <w:rPr>
                <w:noProof/>
                <w:webHidden/>
              </w:rPr>
              <w:t>4</w:t>
            </w:r>
            <w:r w:rsidR="00070796">
              <w:rPr>
                <w:noProof/>
                <w:webHidden/>
              </w:rPr>
              <w:fldChar w:fldCharType="end"/>
            </w:r>
          </w:hyperlink>
        </w:p>
        <w:p w:rsidR="00070796" w:rsidRPr="00070796" w:rsidRDefault="00070796" w:rsidP="00070796">
          <w:pPr>
            <w:rPr>
              <w:lang w:val="es-GT"/>
            </w:rPr>
          </w:pPr>
        </w:p>
        <w:p w:rsidR="00070796" w:rsidRDefault="00981978">
          <w:pPr>
            <w:pStyle w:val="TDC2"/>
            <w:tabs>
              <w:tab w:val="right" w:leader="dot" w:pos="8828"/>
            </w:tabs>
            <w:rPr>
              <w:rStyle w:val="Hipervnculo"/>
              <w:noProof/>
            </w:rPr>
          </w:pPr>
          <w:hyperlink w:anchor="_Toc160201964" w:history="1">
            <w:r w:rsidR="00070796" w:rsidRPr="004350C9">
              <w:rPr>
                <w:rStyle w:val="Hipervnculo"/>
                <w:noProof/>
              </w:rPr>
              <w:t>Imagen 1: Formato de la boleta digital</w:t>
            </w:r>
            <w:r w:rsidR="00070796">
              <w:rPr>
                <w:noProof/>
                <w:webHidden/>
              </w:rPr>
              <w:tab/>
            </w:r>
            <w:r w:rsidR="00070796">
              <w:rPr>
                <w:noProof/>
                <w:webHidden/>
              </w:rPr>
              <w:fldChar w:fldCharType="begin"/>
            </w:r>
            <w:r w:rsidR="00070796">
              <w:rPr>
                <w:noProof/>
                <w:webHidden/>
              </w:rPr>
              <w:instrText xml:space="preserve"> PAGEREF _Toc160201964 \h </w:instrText>
            </w:r>
            <w:r w:rsidR="00070796">
              <w:rPr>
                <w:noProof/>
                <w:webHidden/>
              </w:rPr>
            </w:r>
            <w:r w:rsidR="00070796">
              <w:rPr>
                <w:noProof/>
                <w:webHidden/>
              </w:rPr>
              <w:fldChar w:fldCharType="separate"/>
            </w:r>
            <w:r w:rsidR="00A971CD">
              <w:rPr>
                <w:noProof/>
                <w:webHidden/>
              </w:rPr>
              <w:t>4</w:t>
            </w:r>
            <w:r w:rsidR="00070796">
              <w:rPr>
                <w:noProof/>
                <w:webHidden/>
              </w:rPr>
              <w:fldChar w:fldCharType="end"/>
            </w:r>
          </w:hyperlink>
        </w:p>
        <w:p w:rsidR="00070796" w:rsidRPr="00070796" w:rsidRDefault="00070796" w:rsidP="00070796">
          <w:pPr>
            <w:rPr>
              <w:lang w:val="es-GT"/>
            </w:rPr>
          </w:pPr>
        </w:p>
        <w:p w:rsidR="00070796" w:rsidRDefault="00981978">
          <w:pPr>
            <w:pStyle w:val="TDC2"/>
            <w:tabs>
              <w:tab w:val="left" w:pos="660"/>
              <w:tab w:val="right" w:leader="dot" w:pos="8828"/>
            </w:tabs>
            <w:rPr>
              <w:rStyle w:val="Hipervnculo"/>
              <w:noProof/>
            </w:rPr>
          </w:pPr>
          <w:hyperlink w:anchor="_Toc160201965" w:history="1">
            <w:r w:rsidR="00070796" w:rsidRPr="004350C9">
              <w:rPr>
                <w:rStyle w:val="Hipervnculo"/>
                <w:rFonts w:cs="Arial"/>
                <w:noProof/>
              </w:rPr>
              <w:t>2.</w:t>
            </w:r>
            <w:r w:rsidR="00070796">
              <w:rPr>
                <w:rFonts w:eastAsiaTheme="minorEastAsia"/>
                <w:noProof/>
                <w:sz w:val="22"/>
                <w:szCs w:val="22"/>
                <w:lang w:eastAsia="es-GT"/>
              </w:rPr>
              <w:tab/>
            </w:r>
            <w:r w:rsidR="00070796" w:rsidRPr="004350C9">
              <w:rPr>
                <w:rStyle w:val="Hipervnculo"/>
                <w:rFonts w:cs="Arial"/>
                <w:noProof/>
              </w:rPr>
              <w:t>Análisis de datos</w:t>
            </w:r>
            <w:r w:rsidR="00070796">
              <w:rPr>
                <w:noProof/>
                <w:webHidden/>
              </w:rPr>
              <w:tab/>
            </w:r>
            <w:r w:rsidR="00070796">
              <w:rPr>
                <w:noProof/>
                <w:webHidden/>
              </w:rPr>
              <w:fldChar w:fldCharType="begin"/>
            </w:r>
            <w:r w:rsidR="00070796">
              <w:rPr>
                <w:noProof/>
                <w:webHidden/>
              </w:rPr>
              <w:instrText xml:space="preserve"> PAGEREF _Toc160201965 \h </w:instrText>
            </w:r>
            <w:r w:rsidR="00070796">
              <w:rPr>
                <w:noProof/>
                <w:webHidden/>
              </w:rPr>
            </w:r>
            <w:r w:rsidR="00070796">
              <w:rPr>
                <w:noProof/>
                <w:webHidden/>
              </w:rPr>
              <w:fldChar w:fldCharType="separate"/>
            </w:r>
            <w:r w:rsidR="00A971CD">
              <w:rPr>
                <w:noProof/>
                <w:webHidden/>
              </w:rPr>
              <w:t>6</w:t>
            </w:r>
            <w:r w:rsidR="00070796">
              <w:rPr>
                <w:noProof/>
                <w:webHidden/>
              </w:rPr>
              <w:fldChar w:fldCharType="end"/>
            </w:r>
          </w:hyperlink>
        </w:p>
        <w:p w:rsidR="00070796" w:rsidRPr="00070796" w:rsidRDefault="00070796" w:rsidP="00070796">
          <w:pPr>
            <w:rPr>
              <w:lang w:val="es-GT"/>
            </w:rPr>
          </w:pPr>
        </w:p>
        <w:p w:rsidR="00070796" w:rsidRDefault="00981978">
          <w:pPr>
            <w:pStyle w:val="TDC2"/>
            <w:tabs>
              <w:tab w:val="right" w:leader="dot" w:pos="8828"/>
            </w:tabs>
            <w:rPr>
              <w:rStyle w:val="Hipervnculo"/>
              <w:noProof/>
            </w:rPr>
          </w:pPr>
          <w:hyperlink w:anchor="_Toc160201966" w:history="1">
            <w:r w:rsidR="00070796" w:rsidRPr="004350C9">
              <w:rPr>
                <w:rStyle w:val="Hipervnculo"/>
                <w:rFonts w:cs="Arial"/>
                <w:noProof/>
              </w:rPr>
              <w:t>Cuadro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_Toc160201966 \h </w:instrText>
            </w:r>
            <w:r w:rsidR="00070796">
              <w:rPr>
                <w:noProof/>
                <w:webHidden/>
              </w:rPr>
              <w:fldChar w:fldCharType="separate"/>
            </w:r>
            <w:r w:rsidR="00A971CD">
              <w:rPr>
                <w:b/>
                <w:bCs/>
                <w:noProof/>
                <w:webHidden/>
                <w:lang w:val="es-ES"/>
              </w:rPr>
              <w:t>¡Error! Marcador no definido.</w:t>
            </w:r>
            <w:r w:rsidR="00070796">
              <w:rPr>
                <w:noProof/>
                <w:webHidden/>
              </w:rPr>
              <w:fldChar w:fldCharType="end"/>
            </w:r>
          </w:hyperlink>
        </w:p>
        <w:p w:rsidR="00070796" w:rsidRPr="00070796" w:rsidRDefault="00070796" w:rsidP="00070796">
          <w:pPr>
            <w:rPr>
              <w:lang w:val="es-GT"/>
            </w:rPr>
          </w:pPr>
        </w:p>
        <w:p w:rsidR="00070796" w:rsidRDefault="00981978">
          <w:pPr>
            <w:pStyle w:val="TDC2"/>
            <w:tabs>
              <w:tab w:val="right" w:leader="dot" w:pos="8828"/>
            </w:tabs>
            <w:rPr>
              <w:rFonts w:eastAsiaTheme="minorEastAsia"/>
              <w:noProof/>
              <w:sz w:val="22"/>
              <w:szCs w:val="22"/>
              <w:lang w:eastAsia="es-GT"/>
            </w:rPr>
          </w:pPr>
          <w:hyperlink w:anchor="_Toc160201967" w:history="1">
            <w:r w:rsidR="00070796" w:rsidRPr="004350C9">
              <w:rPr>
                <w:rStyle w:val="Hipervnculo"/>
                <w:rFonts w:cs="Arial"/>
                <w:noProof/>
              </w:rPr>
              <w:t>Gráfica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_Toc160201967 \h </w:instrText>
            </w:r>
            <w:r w:rsidR="00070796">
              <w:rPr>
                <w:noProof/>
                <w:webHidden/>
              </w:rPr>
            </w:r>
            <w:r w:rsidR="00070796">
              <w:rPr>
                <w:noProof/>
                <w:webHidden/>
              </w:rPr>
              <w:fldChar w:fldCharType="separate"/>
            </w:r>
            <w:r w:rsidR="00A971CD">
              <w:rPr>
                <w:noProof/>
                <w:webHidden/>
              </w:rPr>
              <w:t>10</w:t>
            </w:r>
            <w:r w:rsidR="00070796">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0" w:name="_Toc160201961"/>
      <w:r w:rsidRPr="00216A24">
        <w:rPr>
          <w:b/>
        </w:rPr>
        <w:t>Antecedentes</w:t>
      </w:r>
      <w:bookmarkEnd w:id="0"/>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 xml:space="preserve">La Ley de Idiomas Nacionales, Decreto 19-2003 del Congreso de la República de Guatemala, según su artículo 4, tiene como objeto regular lo relativo al reconocimiento, respeto, promoción, desarrollo y utilización de los idiomas de los pueblos Mayas,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xml:space="preserve">,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proofErr w:type="gramStart"/>
      <w:r>
        <w:rPr>
          <w:rFonts w:ascii="Arial" w:hAnsi="Arial" w:cs="Arial"/>
        </w:rPr>
        <w:t>M</w:t>
      </w:r>
      <w:r w:rsidRPr="009F5815">
        <w:rPr>
          <w:rFonts w:ascii="Arial" w:hAnsi="Arial" w:cs="Arial"/>
        </w:rPr>
        <w:t>ayas</w:t>
      </w:r>
      <w:proofErr w:type="gramEnd"/>
      <w:r w:rsidRPr="009F5815">
        <w:rPr>
          <w:rFonts w:ascii="Arial" w:hAnsi="Arial" w:cs="Arial"/>
        </w:rPr>
        <w:t xml:space="preserve">,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1" w:name="_Toc160201962"/>
      <w:r w:rsidRPr="00216A24">
        <w:rPr>
          <w:b/>
        </w:rPr>
        <w:lastRenderedPageBreak/>
        <w:t>Elaboración del Informe</w:t>
      </w:r>
      <w:bookmarkEnd w:id="1"/>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2" w:name="_Toc160201963"/>
      <w:r w:rsidRPr="000E4374">
        <w:rPr>
          <w:rFonts w:cs="Arial"/>
        </w:rPr>
        <w:t>Descripción de la recopilación de los datos</w:t>
      </w:r>
      <w:bookmarkEnd w:id="2"/>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3" w:name="_Toc160201964"/>
      <w:r w:rsidRPr="00DA068F">
        <w:t>Imagen 1: Formato de la boleta digital</w:t>
      </w:r>
      <w:bookmarkEnd w:id="3"/>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186D913D" wp14:editId="3E699FC3">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A971CD" w:rsidP="00792387">
      <w:pPr>
        <w:pStyle w:val="Prrafodelista"/>
        <w:spacing w:line="360" w:lineRule="auto"/>
        <w:jc w:val="both"/>
        <w:rPr>
          <w:rFonts w:ascii="Arial" w:hAnsi="Arial" w:cs="Arial"/>
        </w:rPr>
      </w:pPr>
      <w:r>
        <w:rPr>
          <w:rFonts w:ascii="Arial" w:hAnsi="Arial" w:cs="Arial"/>
          <w:noProof/>
          <w:lang w:eastAsia="es-GT"/>
        </w:rPr>
        <w:lastRenderedPageBreak/>
        <w:drawing>
          <wp:anchor distT="0" distB="0" distL="114300" distR="114300" simplePos="0" relativeHeight="251659264" behindDoc="0" locked="0" layoutInCell="1" allowOverlap="1" wp14:anchorId="1182FA81" wp14:editId="68D0D6F7">
            <wp:simplePos x="0" y="0"/>
            <wp:positionH relativeFrom="page">
              <wp:posOffset>2819400</wp:posOffset>
            </wp:positionH>
            <wp:positionV relativeFrom="paragraph">
              <wp:posOffset>92710</wp:posOffset>
            </wp:positionV>
            <wp:extent cx="2724150" cy="2019300"/>
            <wp:effectExtent l="19050" t="19050" r="19050" b="190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r>
        <w:rPr>
          <w:rFonts w:ascii="Arial" w:hAnsi="Arial" w:cs="Arial"/>
          <w:noProof/>
          <w:lang w:eastAsia="es-GT"/>
        </w:rPr>
        <w:drawing>
          <wp:anchor distT="0" distB="0" distL="114300" distR="114300" simplePos="0" relativeHeight="251662336" behindDoc="0" locked="0" layoutInCell="1" allowOverlap="1" wp14:anchorId="77519BEC" wp14:editId="10D7AFCA">
            <wp:simplePos x="0" y="0"/>
            <wp:positionH relativeFrom="column">
              <wp:posOffset>134620</wp:posOffset>
            </wp:positionH>
            <wp:positionV relativeFrom="paragraph">
              <wp:posOffset>142875</wp:posOffset>
            </wp:positionV>
            <wp:extent cx="5772785" cy="5170805"/>
            <wp:effectExtent l="19050" t="19050" r="18415" b="1079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785" cy="5170805"/>
                    </a:xfrm>
                    <a:prstGeom prst="rect">
                      <a:avLst/>
                    </a:prstGeom>
                    <a:noFill/>
                    <a:ln>
                      <a:solidFill>
                        <a:schemeClr val="bg1">
                          <a:lumMod val="75000"/>
                          <a:alpha val="86000"/>
                        </a:schemeClr>
                      </a:solidFill>
                    </a:ln>
                  </pic:spPr>
                </pic:pic>
              </a:graphicData>
            </a:graphic>
            <wp14:sizeRelH relativeFrom="page">
              <wp14:pctWidth>0</wp14:pctWidth>
            </wp14:sizeRelH>
            <wp14:sizeRelV relativeFrom="page">
              <wp14:pctHeight>0</wp14:pctHeight>
            </wp14:sizeRelV>
          </wp:anchor>
        </w:drawing>
      </w: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A971CD" w:rsidRDefault="00A971CD" w:rsidP="00792387">
      <w:pPr>
        <w:pStyle w:val="Prrafodelista"/>
        <w:spacing w:line="360" w:lineRule="auto"/>
        <w:jc w:val="center"/>
        <w:rPr>
          <w:rFonts w:ascii="Arial" w:hAnsi="Arial" w:cs="Arial"/>
        </w:rPr>
      </w:pPr>
    </w:p>
    <w:p w:rsidR="00216A24" w:rsidRDefault="00216A24"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4" w:name="_Toc160201965"/>
      <w:r w:rsidRPr="00330C1F">
        <w:rPr>
          <w:rFonts w:cs="Arial"/>
        </w:rPr>
        <w:t>Análisis de datos</w:t>
      </w:r>
      <w:bookmarkEnd w:id="4"/>
    </w:p>
    <w:p w:rsidR="00792387" w:rsidRPr="00FD796C" w:rsidRDefault="00792387" w:rsidP="00792387"/>
    <w:p w:rsidR="00A971CD" w:rsidRPr="00A971CD" w:rsidRDefault="00A971CD" w:rsidP="00A971CD">
      <w:pPr>
        <w:spacing w:line="360" w:lineRule="auto"/>
        <w:jc w:val="both"/>
        <w:rPr>
          <w:rFonts w:ascii="Arial" w:hAnsi="Arial" w:cs="Arial"/>
          <w:lang w:val="es-GT"/>
        </w:rPr>
      </w:pPr>
      <w:r w:rsidRPr="00A971CD">
        <w:rPr>
          <w:rFonts w:ascii="Arial" w:hAnsi="Arial" w:cs="Arial"/>
          <w:lang w:val="es-GT"/>
        </w:rPr>
        <w:t xml:space="preserve">En el mes </w:t>
      </w:r>
      <w:r w:rsidRPr="00A971CD">
        <w:rPr>
          <w:rFonts w:ascii="Arial" w:hAnsi="Arial" w:cs="Arial"/>
          <w:lang w:val="es-GT"/>
        </w:rPr>
        <w:t>Junio</w:t>
      </w:r>
      <w:r w:rsidRPr="00A971CD">
        <w:rPr>
          <w:rFonts w:ascii="Arial" w:hAnsi="Arial" w:cs="Arial"/>
          <w:lang w:val="es-GT"/>
        </w:rPr>
        <w:t xml:space="preserve"> del 2024 la Dirección General de Correos y Telégrafos benefició a un total de 4</w:t>
      </w:r>
      <w:r w:rsidRPr="00A971CD">
        <w:rPr>
          <w:rFonts w:ascii="Arial" w:hAnsi="Arial" w:cs="Arial"/>
          <w:lang w:val="es-GT"/>
        </w:rPr>
        <w:t xml:space="preserve">5,245 </w:t>
      </w:r>
      <w:r w:rsidRPr="00A971CD">
        <w:rPr>
          <w:rFonts w:ascii="Arial" w:hAnsi="Arial" w:cs="Arial"/>
          <w:lang w:val="es-GT"/>
        </w:rPr>
        <w:t xml:space="preserve"> personas mediante la prestación del servicio postal, tal como se evidencia en el cuadro 1.</w:t>
      </w:r>
    </w:p>
    <w:p w:rsidR="00A971CD" w:rsidRDefault="00A971CD" w:rsidP="00A971CD">
      <w:pPr>
        <w:spacing w:line="360" w:lineRule="auto"/>
        <w:jc w:val="center"/>
        <w:rPr>
          <w:rFonts w:ascii="Times New Roman" w:eastAsia="Times New Roman" w:hAnsi="Times New Roman" w:cs="Times New Roman"/>
          <w:b/>
          <w:color w:val="000000"/>
          <w:lang w:eastAsia="es-GT"/>
        </w:rPr>
      </w:pPr>
    </w:p>
    <w:p w:rsidR="00A971CD" w:rsidRPr="00BB3313" w:rsidRDefault="00A971CD" w:rsidP="00A971CD">
      <w:pPr>
        <w:spacing w:line="360" w:lineRule="auto"/>
        <w:jc w:val="center"/>
        <w:rPr>
          <w:rFonts w:ascii="Times New Roman" w:eastAsia="Times New Roman" w:hAnsi="Times New Roman" w:cs="Times New Roman"/>
          <w:b/>
          <w:color w:val="000000"/>
          <w:lang w:eastAsia="es-GT"/>
        </w:rPr>
      </w:pPr>
    </w:p>
    <w:p w:rsidR="00A971CD" w:rsidRDefault="00A971CD" w:rsidP="00A971CD">
      <w:pPr>
        <w:spacing w:line="360" w:lineRule="auto"/>
        <w:jc w:val="center"/>
        <w:rPr>
          <w:rFonts w:ascii="Times New Roman" w:eastAsia="Times New Roman" w:hAnsi="Times New Roman" w:cs="Times New Roman"/>
          <w:b/>
          <w:color w:val="000000"/>
          <w:lang w:eastAsia="es-GT"/>
        </w:rPr>
      </w:pPr>
      <w:r w:rsidRPr="00BB3313">
        <w:rPr>
          <w:rFonts w:ascii="Times New Roman" w:eastAsia="Times New Roman" w:hAnsi="Times New Roman" w:cs="Times New Roman"/>
          <w:b/>
          <w:color w:val="000000"/>
          <w:lang w:eastAsia="es-GT"/>
        </w:rPr>
        <w:t>Cuadro 1: Población beneficiada por el Servicio Postal</w:t>
      </w:r>
      <w:r>
        <w:rPr>
          <w:rFonts w:ascii="Times New Roman" w:eastAsia="Times New Roman" w:hAnsi="Times New Roman" w:cs="Times New Roman"/>
          <w:b/>
          <w:color w:val="000000"/>
          <w:lang w:eastAsia="es-GT"/>
        </w:rPr>
        <w:t xml:space="preserve">, </w:t>
      </w:r>
      <w:r>
        <w:rPr>
          <w:rFonts w:ascii="Times New Roman" w:hAnsi="Times New Roman" w:cs="Times New Roman"/>
          <w:b/>
        </w:rPr>
        <w:t>Junio</w:t>
      </w:r>
      <w:r w:rsidRPr="00BB3313">
        <w:rPr>
          <w:rFonts w:ascii="Times New Roman" w:hAnsi="Times New Roman" w:cs="Times New Roman"/>
          <w:b/>
        </w:rPr>
        <w:t xml:space="preserve"> 2024</w:t>
      </w:r>
      <w:r>
        <w:rPr>
          <w:rFonts w:ascii="Times New Roman" w:hAnsi="Times New Roman" w:cs="Times New Roman"/>
          <w:b/>
        </w:rPr>
        <w:t>.</w:t>
      </w:r>
    </w:p>
    <w:tbl>
      <w:tblPr>
        <w:tblStyle w:val="GridTable4Accent1"/>
        <w:tblW w:w="0" w:type="auto"/>
        <w:jc w:val="center"/>
        <w:tblLook w:val="04A0" w:firstRow="1" w:lastRow="0" w:firstColumn="1" w:lastColumn="0" w:noHBand="0" w:noVBand="1"/>
      </w:tblPr>
      <w:tblGrid>
        <w:gridCol w:w="1043"/>
        <w:gridCol w:w="2527"/>
      </w:tblGrid>
      <w:tr w:rsidR="00A971CD" w:rsidRPr="00BB3313" w:rsidTr="00683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Pr>
          <w:p w:rsidR="00A971CD" w:rsidRPr="00DA2477" w:rsidRDefault="00A971CD" w:rsidP="0068323B">
            <w:pPr>
              <w:spacing w:line="360" w:lineRule="auto"/>
              <w:rPr>
                <w:rFonts w:ascii="Times New Roman" w:eastAsia="Times New Roman" w:hAnsi="Times New Roman" w:cs="Times New Roman"/>
                <w:lang w:eastAsia="es-GT"/>
              </w:rPr>
            </w:pPr>
            <w:r w:rsidRPr="00DA2477">
              <w:rPr>
                <w:rFonts w:ascii="Times New Roman" w:eastAsia="Times New Roman" w:hAnsi="Times New Roman" w:cs="Times New Roman"/>
                <w:lang w:eastAsia="es-GT"/>
              </w:rPr>
              <w:t>Mes</w:t>
            </w:r>
          </w:p>
        </w:tc>
        <w:tc>
          <w:tcPr>
            <w:tcW w:w="2527" w:type="dxa"/>
          </w:tcPr>
          <w:p w:rsidR="00A971CD" w:rsidRPr="00DA2477" w:rsidRDefault="00A971CD" w:rsidP="0068323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lang w:eastAsia="es-GT"/>
              </w:rPr>
            </w:pPr>
            <w:r w:rsidRPr="00DA2477">
              <w:rPr>
                <w:rFonts w:ascii="Times New Roman" w:eastAsia="Times New Roman" w:hAnsi="Times New Roman" w:cs="Times New Roman"/>
                <w:lang w:eastAsia="es-GT"/>
              </w:rPr>
              <w:t>Población beneficiada</w:t>
            </w:r>
          </w:p>
        </w:tc>
      </w:tr>
      <w:tr w:rsidR="00A971CD" w:rsidRPr="00BB3313" w:rsidTr="006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 w:type="dxa"/>
          </w:tcPr>
          <w:p w:rsidR="00A971CD" w:rsidRPr="002A242C" w:rsidRDefault="00A971CD" w:rsidP="0068323B">
            <w:pPr>
              <w:spacing w:line="360" w:lineRule="auto"/>
              <w:rPr>
                <w:rFonts w:ascii="Times New Roman" w:hAnsi="Times New Roman" w:cs="Times New Roman"/>
                <w:color w:val="000000"/>
              </w:rPr>
            </w:pPr>
            <w:r>
              <w:rPr>
                <w:rFonts w:ascii="Times New Roman" w:hAnsi="Times New Roman" w:cs="Times New Roman"/>
                <w:color w:val="000000"/>
              </w:rPr>
              <w:t>Junio</w:t>
            </w:r>
          </w:p>
        </w:tc>
        <w:tc>
          <w:tcPr>
            <w:tcW w:w="2527" w:type="dxa"/>
          </w:tcPr>
          <w:p w:rsidR="00A971CD" w:rsidRPr="002A242C" w:rsidRDefault="00A971CD" w:rsidP="0068323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Pr>
                <w:rFonts w:ascii="Times New Roman" w:hAnsi="Times New Roman" w:cs="Times New Roman"/>
                <w:b/>
                <w:bCs/>
                <w:color w:val="000000"/>
              </w:rPr>
              <w:t>45,245</w:t>
            </w:r>
          </w:p>
        </w:tc>
      </w:tr>
    </w:tbl>
    <w:p w:rsidR="00792387" w:rsidRDefault="00792387" w:rsidP="00792387">
      <w:pPr>
        <w:pStyle w:val="Prrafodelista"/>
        <w:spacing w:line="360" w:lineRule="auto"/>
        <w:ind w:left="567"/>
        <w:jc w:val="both"/>
        <w:rPr>
          <w:rFonts w:ascii="Arial" w:hAnsi="Arial" w:cs="Arial"/>
        </w:rPr>
      </w:pPr>
    </w:p>
    <w:p w:rsidR="00C66DB8" w:rsidRDefault="00374E3B" w:rsidP="00792387">
      <w:pPr>
        <w:pStyle w:val="Prrafodelista"/>
        <w:spacing w:line="360" w:lineRule="auto"/>
        <w:ind w:left="567"/>
        <w:jc w:val="both"/>
        <w:rPr>
          <w:rFonts w:ascii="Arial" w:hAnsi="Arial" w:cs="Arial"/>
        </w:rPr>
      </w:pPr>
      <w:r w:rsidRPr="00374E3B">
        <w:rPr>
          <w:rFonts w:ascii="Arial" w:hAnsi="Arial" w:cs="Arial"/>
        </w:rPr>
        <w:t xml:space="preserve">El 63.11% de la población beneficiada se ubica en la Región Metropolitana la cual es atendida por la subsección de Carteros y las agencias de Amatitlán, Villa Canales y San Juan Sacatepéquez; el 10.71% a la región Sur Occidente; el 10.02% Central y el 16.16% restante a las otras regiones tal como se presenta en la gráfica </w:t>
      </w:r>
      <w:r w:rsidR="00941DAF">
        <w:rPr>
          <w:rFonts w:ascii="Arial" w:hAnsi="Arial" w:cs="Arial"/>
        </w:rPr>
        <w:t>1</w:t>
      </w:r>
      <w:r w:rsidRPr="00374E3B">
        <w:rPr>
          <w:rFonts w:ascii="Arial" w:hAnsi="Arial" w:cs="Arial"/>
        </w:rPr>
        <w:t>.</w:t>
      </w:r>
    </w:p>
    <w:p w:rsidR="00085856" w:rsidRDefault="00085856" w:rsidP="00792387">
      <w:pPr>
        <w:pStyle w:val="Prrafodelista"/>
        <w:spacing w:line="360" w:lineRule="auto"/>
        <w:ind w:left="567"/>
        <w:jc w:val="both"/>
        <w:rPr>
          <w:rFonts w:ascii="Arial" w:hAnsi="Arial" w:cs="Arial"/>
        </w:rPr>
        <w:sectPr w:rsidR="00085856" w:rsidSect="00200E53">
          <w:headerReference w:type="default" r:id="rId11"/>
          <w:type w:val="continuous"/>
          <w:pgSz w:w="12240" w:h="15840"/>
          <w:pgMar w:top="1949" w:right="1701" w:bottom="1424" w:left="1701" w:header="708" w:footer="708" w:gutter="0"/>
          <w:cols w:space="708"/>
          <w:docGrid w:linePitch="360"/>
        </w:sectPr>
      </w:pPr>
    </w:p>
    <w:p w:rsidR="00792387" w:rsidRDefault="00941DAF" w:rsidP="00792387">
      <w:pPr>
        <w:pStyle w:val="Prrafodelista"/>
        <w:spacing w:line="360" w:lineRule="auto"/>
        <w:ind w:left="567"/>
        <w:jc w:val="both"/>
        <w:rPr>
          <w:rFonts w:ascii="Arial" w:hAnsi="Arial" w:cs="Arial"/>
        </w:rPr>
      </w:pPr>
      <w:r>
        <w:rPr>
          <w:noProof/>
          <w:lang w:eastAsia="es-GT"/>
        </w:rPr>
        <w:lastRenderedPageBreak/>
        <w:drawing>
          <wp:anchor distT="0" distB="0" distL="114300" distR="114300" simplePos="0" relativeHeight="251661312" behindDoc="1" locked="0" layoutInCell="1" allowOverlap="1" wp14:anchorId="30552C7B" wp14:editId="4E982D25">
            <wp:simplePos x="0" y="0"/>
            <wp:positionH relativeFrom="margin">
              <wp:align>right</wp:align>
            </wp:positionH>
            <wp:positionV relativeFrom="paragraph">
              <wp:posOffset>260350</wp:posOffset>
            </wp:positionV>
            <wp:extent cx="4738255" cy="2945081"/>
            <wp:effectExtent l="0" t="0" r="24765" b="27305"/>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A7286" w:rsidRDefault="000A7286"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37125A" w:rsidRPr="006C205B" w:rsidRDefault="0037125A" w:rsidP="006C205B">
      <w:pPr>
        <w:spacing w:line="360" w:lineRule="auto"/>
        <w:jc w:val="both"/>
        <w:rPr>
          <w:rFonts w:ascii="Arial" w:hAnsi="Arial" w:cs="Arial"/>
        </w:rPr>
      </w:pPr>
    </w:p>
    <w:p w:rsidR="00374E3B" w:rsidRDefault="00374E3B"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r w:rsidRPr="00941DAF">
        <w:rPr>
          <w:rFonts w:ascii="Arial" w:hAnsi="Arial" w:cs="Arial"/>
        </w:rPr>
        <w:t xml:space="preserve">Del total de los beneficiados del servicio </w:t>
      </w:r>
      <w:r w:rsidR="00D0367E" w:rsidRPr="00941DAF">
        <w:rPr>
          <w:rFonts w:ascii="Arial" w:hAnsi="Arial" w:cs="Arial"/>
        </w:rPr>
        <w:t>postal, 19,933</w:t>
      </w:r>
      <w:r w:rsidRPr="00941DAF">
        <w:rPr>
          <w:rFonts w:ascii="Arial" w:hAnsi="Arial" w:cs="Arial"/>
        </w:rPr>
        <w:t xml:space="preserve"> fueron mujeres que corresponde al 44.05% y 25,085 hombres que es el 55.44%, tal como se presenta en la gráfica </w:t>
      </w:r>
      <w:r>
        <w:rPr>
          <w:rFonts w:ascii="Arial" w:hAnsi="Arial" w:cs="Arial"/>
        </w:rPr>
        <w:t>2</w:t>
      </w:r>
      <w:r w:rsidRPr="00941DAF">
        <w:rPr>
          <w:rFonts w:ascii="Arial" w:hAnsi="Arial" w:cs="Arial"/>
        </w:rPr>
        <w:t>.</w:t>
      </w:r>
    </w:p>
    <w:p w:rsidR="00941DAF" w:rsidRDefault="00941DAF"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r>
        <w:rPr>
          <w:noProof/>
          <w:lang w:eastAsia="es-GT"/>
        </w:rPr>
        <w:drawing>
          <wp:inline distT="0" distB="0" distL="0" distR="0" wp14:anchorId="378D128D" wp14:editId="32801674">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1DAF" w:rsidRDefault="00941DAF"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p>
    <w:p w:rsidR="00941DAF" w:rsidRDefault="00941DAF" w:rsidP="00792387">
      <w:pPr>
        <w:pStyle w:val="Prrafodelista"/>
        <w:spacing w:line="360" w:lineRule="auto"/>
        <w:ind w:left="567"/>
        <w:jc w:val="both"/>
        <w:rPr>
          <w:rFonts w:ascii="Arial" w:hAnsi="Arial" w:cs="Arial"/>
        </w:rPr>
      </w:pPr>
    </w:p>
    <w:p w:rsidR="00792387" w:rsidRDefault="00D0367E" w:rsidP="00792387">
      <w:pPr>
        <w:pStyle w:val="Prrafodelista"/>
        <w:spacing w:line="360" w:lineRule="auto"/>
        <w:ind w:left="567"/>
        <w:jc w:val="both"/>
        <w:rPr>
          <w:rFonts w:ascii="Arial" w:hAnsi="Arial" w:cs="Arial"/>
        </w:rPr>
      </w:pPr>
      <w:r w:rsidRPr="00D0367E">
        <w:rPr>
          <w:rFonts w:ascii="Arial" w:hAnsi="Arial" w:cs="Arial"/>
        </w:rPr>
        <w:t>Las Agencias que tienen la mayor proporción de entregas de piezas postales son</w:t>
      </w:r>
      <w:r w:rsidR="00A971CD" w:rsidRPr="00D0367E">
        <w:rPr>
          <w:rFonts w:ascii="Arial" w:hAnsi="Arial" w:cs="Arial"/>
        </w:rPr>
        <w:t>: Agencia</w:t>
      </w:r>
      <w:r w:rsidRPr="00D0367E">
        <w:rPr>
          <w:rFonts w:ascii="Arial" w:hAnsi="Arial" w:cs="Arial"/>
        </w:rPr>
        <w:t xml:space="preserve"> Central 57.37%, Quetzaltenango 4.67%, Antigua Guatemala 4.15%, Chimaltenango 3.57%, Villa Canales 2.78%, Huehuetenango 2.56% y Escuintla 2.09%. La población beneficiada según agencia postal se presenta en el cuadro </w:t>
      </w:r>
      <w:r>
        <w:rPr>
          <w:rFonts w:ascii="Arial" w:hAnsi="Arial" w:cs="Arial"/>
        </w:rPr>
        <w:t>1</w:t>
      </w:r>
      <w:r w:rsidRPr="00D0367E">
        <w:rPr>
          <w:rFonts w:ascii="Arial" w:hAnsi="Arial" w:cs="Arial"/>
        </w:rPr>
        <w:t>.</w:t>
      </w:r>
    </w:p>
    <w:p w:rsidR="001F7552" w:rsidRDefault="001F7552" w:rsidP="00792387">
      <w:pPr>
        <w:pStyle w:val="Prrafodelista"/>
        <w:spacing w:line="360" w:lineRule="auto"/>
        <w:ind w:left="567"/>
        <w:jc w:val="both"/>
        <w:rPr>
          <w:rFonts w:ascii="Arial" w:hAnsi="Arial" w:cs="Arial"/>
        </w:rPr>
      </w:pPr>
    </w:p>
    <w:p w:rsidR="00A971CD" w:rsidRDefault="00A971CD" w:rsidP="00A971CD">
      <w:pPr>
        <w:spacing w:line="360" w:lineRule="auto"/>
        <w:jc w:val="center"/>
        <w:rPr>
          <w:rFonts w:ascii="Arial" w:hAnsi="Arial" w:cs="Arial"/>
          <w:b/>
          <w:lang w:val="es-GT"/>
        </w:rPr>
      </w:pPr>
    </w:p>
    <w:p w:rsidR="00A971CD" w:rsidRDefault="00A971CD" w:rsidP="00A971CD">
      <w:pPr>
        <w:spacing w:line="360" w:lineRule="auto"/>
        <w:jc w:val="center"/>
        <w:rPr>
          <w:rFonts w:ascii="Arial" w:hAnsi="Arial" w:cs="Arial"/>
          <w:b/>
          <w:lang w:val="es-GT"/>
        </w:rPr>
      </w:pPr>
    </w:p>
    <w:p w:rsidR="00A971CD" w:rsidRDefault="00A971CD" w:rsidP="00A971CD">
      <w:pPr>
        <w:spacing w:line="360" w:lineRule="auto"/>
        <w:jc w:val="center"/>
        <w:rPr>
          <w:rFonts w:ascii="Arial" w:hAnsi="Arial" w:cs="Arial"/>
          <w:b/>
          <w:lang w:val="es-GT"/>
        </w:rPr>
      </w:pPr>
    </w:p>
    <w:p w:rsidR="00A971CD" w:rsidRDefault="00A971CD" w:rsidP="00A971CD">
      <w:pPr>
        <w:spacing w:line="360" w:lineRule="auto"/>
        <w:jc w:val="center"/>
        <w:rPr>
          <w:rFonts w:ascii="Arial" w:hAnsi="Arial" w:cs="Arial"/>
          <w:b/>
          <w:lang w:val="es-GT"/>
        </w:rPr>
      </w:pPr>
    </w:p>
    <w:p w:rsidR="00A971CD" w:rsidRPr="00A971CD" w:rsidRDefault="00A971CD" w:rsidP="00A971CD">
      <w:pPr>
        <w:spacing w:line="360" w:lineRule="auto"/>
        <w:jc w:val="center"/>
        <w:rPr>
          <w:rFonts w:ascii="Arial" w:hAnsi="Arial" w:cs="Arial"/>
          <w:b/>
          <w:lang w:val="es-GT"/>
        </w:rPr>
      </w:pPr>
      <w:r w:rsidRPr="00A971CD">
        <w:rPr>
          <w:rFonts w:ascii="Arial" w:hAnsi="Arial" w:cs="Arial"/>
          <w:b/>
          <w:lang w:val="es-GT"/>
        </w:rPr>
        <w:t>Cuadro</w:t>
      </w:r>
      <w:r>
        <w:rPr>
          <w:rFonts w:ascii="Arial" w:hAnsi="Arial" w:cs="Arial"/>
          <w:b/>
          <w:lang w:val="es-GT"/>
        </w:rPr>
        <w:t>2</w:t>
      </w:r>
      <w:bookmarkStart w:id="5" w:name="_GoBack"/>
      <w:bookmarkEnd w:id="5"/>
      <w:r w:rsidRPr="00A971CD">
        <w:rPr>
          <w:rFonts w:ascii="Arial" w:hAnsi="Arial" w:cs="Arial"/>
          <w:b/>
          <w:lang w:val="es-GT"/>
        </w:rPr>
        <w:t xml:space="preserve">: Población beneficiada según Agencia Postal, </w:t>
      </w:r>
      <w:r>
        <w:rPr>
          <w:rFonts w:ascii="Arial" w:hAnsi="Arial" w:cs="Arial"/>
          <w:b/>
          <w:lang w:val="es-GT"/>
        </w:rPr>
        <w:t>Junio</w:t>
      </w:r>
      <w:r w:rsidRPr="00A971CD">
        <w:rPr>
          <w:rFonts w:ascii="Arial" w:hAnsi="Arial" w:cs="Arial"/>
          <w:b/>
          <w:lang w:val="es-GT"/>
        </w:rPr>
        <w:t xml:space="preserve"> del 2024</w:t>
      </w:r>
    </w:p>
    <w:p w:rsidR="00792387" w:rsidRDefault="00792387" w:rsidP="00792387">
      <w:pPr>
        <w:pStyle w:val="Ttulo2"/>
        <w:jc w:val="center"/>
        <w:rPr>
          <w:rFonts w:cs="Arial"/>
          <w:sz w:val="24"/>
          <w:szCs w:val="24"/>
        </w:rPr>
      </w:pPr>
    </w:p>
    <w:p w:rsidR="00792387" w:rsidRDefault="00792387" w:rsidP="00792387">
      <w:pPr>
        <w:rPr>
          <w:lang w:val="es-GT"/>
        </w:rPr>
      </w:pPr>
    </w:p>
    <w:tbl>
      <w:tblPr>
        <w:tblW w:w="7503" w:type="dxa"/>
        <w:jc w:val="center"/>
        <w:tblLook w:val="04A0" w:firstRow="1" w:lastRow="0" w:firstColumn="1" w:lastColumn="0" w:noHBand="0" w:noVBand="1"/>
      </w:tblPr>
      <w:tblGrid>
        <w:gridCol w:w="615"/>
        <w:gridCol w:w="3420"/>
        <w:gridCol w:w="1356"/>
        <w:gridCol w:w="2112"/>
      </w:tblGrid>
      <w:tr w:rsidR="00D0367E" w:rsidRPr="00D0367E" w:rsidTr="00D0367E">
        <w:trPr>
          <w:trHeight w:val="330"/>
          <w:jc w:val="center"/>
        </w:trPr>
        <w:tc>
          <w:tcPr>
            <w:tcW w:w="615" w:type="dxa"/>
            <w:vMerge w:val="restart"/>
            <w:tcBorders>
              <w:top w:val="single" w:sz="8" w:space="0" w:color="auto"/>
              <w:left w:val="single" w:sz="8" w:space="0" w:color="auto"/>
              <w:bottom w:val="single" w:sz="8" w:space="0" w:color="000000"/>
              <w:right w:val="single" w:sz="4" w:space="0" w:color="auto"/>
            </w:tcBorders>
            <w:shd w:val="clear" w:color="000000" w:fill="0070C0"/>
            <w:noWrap/>
            <w:vAlign w:val="center"/>
            <w:hideMark/>
          </w:tcPr>
          <w:p w:rsidR="00D0367E" w:rsidRPr="00D0367E" w:rsidRDefault="00D0367E" w:rsidP="00D0367E">
            <w:pPr>
              <w:jc w:val="center"/>
              <w:rPr>
                <w:rFonts w:ascii="Century Gothic" w:eastAsia="Times New Roman" w:hAnsi="Century Gothic" w:cs="Calibri"/>
                <w:b/>
                <w:bCs/>
                <w:color w:val="FFFFFF"/>
                <w:lang w:val="en-US"/>
              </w:rPr>
            </w:pPr>
            <w:r w:rsidRPr="00D0367E">
              <w:rPr>
                <w:rFonts w:ascii="Century Gothic" w:eastAsia="Times New Roman" w:hAnsi="Century Gothic" w:cs="Calibri"/>
                <w:b/>
                <w:bCs/>
                <w:color w:val="FFFFFF"/>
                <w:lang w:val="en-US"/>
              </w:rPr>
              <w:t xml:space="preserve">No. </w:t>
            </w:r>
          </w:p>
        </w:tc>
        <w:tc>
          <w:tcPr>
            <w:tcW w:w="3420" w:type="dxa"/>
            <w:vMerge w:val="restart"/>
            <w:tcBorders>
              <w:top w:val="single" w:sz="8" w:space="0" w:color="auto"/>
              <w:left w:val="single" w:sz="4" w:space="0" w:color="auto"/>
              <w:bottom w:val="single" w:sz="8" w:space="0" w:color="000000"/>
              <w:right w:val="single" w:sz="4" w:space="0" w:color="auto"/>
            </w:tcBorders>
            <w:shd w:val="clear" w:color="000000" w:fill="0070C0"/>
            <w:noWrap/>
            <w:vAlign w:val="center"/>
            <w:hideMark/>
          </w:tcPr>
          <w:p w:rsidR="00D0367E" w:rsidRPr="00D0367E" w:rsidRDefault="00D0367E" w:rsidP="00D0367E">
            <w:pPr>
              <w:jc w:val="center"/>
              <w:rPr>
                <w:rFonts w:ascii="Century Gothic" w:eastAsia="Times New Roman" w:hAnsi="Century Gothic" w:cs="Calibri"/>
                <w:b/>
                <w:bCs/>
                <w:color w:val="FFFFFF"/>
                <w:sz w:val="22"/>
                <w:szCs w:val="22"/>
                <w:lang w:val="en-US"/>
              </w:rPr>
            </w:pPr>
            <w:r w:rsidRPr="00D0367E">
              <w:rPr>
                <w:rFonts w:ascii="Century Gothic" w:eastAsia="Times New Roman" w:hAnsi="Century Gothic" w:cs="Calibri"/>
                <w:b/>
                <w:bCs/>
                <w:color w:val="FFFFFF"/>
                <w:sz w:val="22"/>
                <w:szCs w:val="22"/>
                <w:lang w:val="en-US"/>
              </w:rPr>
              <w:t xml:space="preserve">AGENCIA </w:t>
            </w:r>
          </w:p>
        </w:tc>
        <w:tc>
          <w:tcPr>
            <w:tcW w:w="3468" w:type="dxa"/>
            <w:gridSpan w:val="2"/>
            <w:tcBorders>
              <w:top w:val="nil"/>
              <w:left w:val="nil"/>
              <w:bottom w:val="single" w:sz="4" w:space="0" w:color="auto"/>
              <w:right w:val="nil"/>
            </w:tcBorders>
            <w:shd w:val="clear" w:color="000000" w:fill="0070C0"/>
            <w:noWrap/>
            <w:vAlign w:val="bottom"/>
            <w:hideMark/>
          </w:tcPr>
          <w:p w:rsidR="00D0367E" w:rsidRPr="00D0367E" w:rsidRDefault="00D0367E" w:rsidP="00D0367E">
            <w:pPr>
              <w:jc w:val="center"/>
              <w:rPr>
                <w:rFonts w:ascii="Century Gothic" w:eastAsia="Times New Roman" w:hAnsi="Century Gothic" w:cs="Calibri"/>
                <w:b/>
                <w:bCs/>
                <w:color w:val="FFFFFF"/>
                <w:sz w:val="22"/>
                <w:szCs w:val="22"/>
                <w:lang w:val="en-US"/>
              </w:rPr>
            </w:pPr>
            <w:r w:rsidRPr="00D0367E">
              <w:rPr>
                <w:rFonts w:ascii="Century Gothic" w:eastAsia="Times New Roman" w:hAnsi="Century Gothic" w:cs="Calibri"/>
                <w:b/>
                <w:bCs/>
                <w:color w:val="FFFFFF"/>
                <w:sz w:val="22"/>
                <w:szCs w:val="22"/>
                <w:lang w:val="en-US"/>
              </w:rPr>
              <w:t>JUNIO</w:t>
            </w:r>
          </w:p>
        </w:tc>
      </w:tr>
      <w:tr w:rsidR="00D0367E" w:rsidRPr="00D0367E" w:rsidTr="00D0367E">
        <w:trPr>
          <w:trHeight w:val="345"/>
          <w:jc w:val="center"/>
        </w:trPr>
        <w:tc>
          <w:tcPr>
            <w:tcW w:w="615" w:type="dxa"/>
            <w:vMerge/>
            <w:tcBorders>
              <w:top w:val="single" w:sz="8" w:space="0" w:color="auto"/>
              <w:left w:val="single" w:sz="8" w:space="0" w:color="auto"/>
              <w:bottom w:val="single" w:sz="8" w:space="0" w:color="000000"/>
              <w:right w:val="single" w:sz="4" w:space="0" w:color="auto"/>
            </w:tcBorders>
            <w:vAlign w:val="center"/>
            <w:hideMark/>
          </w:tcPr>
          <w:p w:rsidR="00D0367E" w:rsidRPr="00D0367E" w:rsidRDefault="00D0367E" w:rsidP="00D0367E">
            <w:pPr>
              <w:rPr>
                <w:rFonts w:ascii="Century Gothic" w:eastAsia="Times New Roman" w:hAnsi="Century Gothic" w:cs="Calibri"/>
                <w:b/>
                <w:bCs/>
                <w:color w:val="FFFFFF"/>
                <w:lang w:val="en-US"/>
              </w:rPr>
            </w:pPr>
          </w:p>
        </w:tc>
        <w:tc>
          <w:tcPr>
            <w:tcW w:w="3420" w:type="dxa"/>
            <w:vMerge/>
            <w:tcBorders>
              <w:top w:val="single" w:sz="8" w:space="0" w:color="auto"/>
              <w:left w:val="single" w:sz="4" w:space="0" w:color="auto"/>
              <w:bottom w:val="single" w:sz="8" w:space="0" w:color="000000"/>
              <w:right w:val="single" w:sz="4" w:space="0" w:color="auto"/>
            </w:tcBorders>
            <w:vAlign w:val="center"/>
            <w:hideMark/>
          </w:tcPr>
          <w:p w:rsidR="00D0367E" w:rsidRPr="00D0367E" w:rsidRDefault="00D0367E" w:rsidP="00D0367E">
            <w:pPr>
              <w:rPr>
                <w:rFonts w:ascii="Century Gothic" w:eastAsia="Times New Roman" w:hAnsi="Century Gothic" w:cs="Calibri"/>
                <w:b/>
                <w:bCs/>
                <w:color w:val="FFFFFF"/>
                <w:sz w:val="22"/>
                <w:szCs w:val="22"/>
                <w:lang w:val="en-US"/>
              </w:rPr>
            </w:pPr>
          </w:p>
        </w:tc>
        <w:tc>
          <w:tcPr>
            <w:tcW w:w="1356" w:type="dxa"/>
            <w:tcBorders>
              <w:top w:val="nil"/>
              <w:left w:val="nil"/>
              <w:bottom w:val="single" w:sz="8" w:space="0" w:color="auto"/>
              <w:right w:val="single" w:sz="8" w:space="0" w:color="auto"/>
            </w:tcBorders>
            <w:shd w:val="clear" w:color="000000" w:fill="0070C0"/>
            <w:noWrap/>
            <w:vAlign w:val="bottom"/>
            <w:hideMark/>
          </w:tcPr>
          <w:p w:rsidR="00D0367E" w:rsidRPr="00D0367E" w:rsidRDefault="00D0367E" w:rsidP="00D0367E">
            <w:pPr>
              <w:jc w:val="center"/>
              <w:rPr>
                <w:rFonts w:ascii="Century Gothic" w:eastAsia="Times New Roman" w:hAnsi="Century Gothic" w:cs="Calibri"/>
                <w:b/>
                <w:bCs/>
                <w:color w:val="FFFFFF"/>
                <w:sz w:val="22"/>
                <w:szCs w:val="22"/>
                <w:lang w:val="en-US"/>
              </w:rPr>
            </w:pPr>
            <w:r w:rsidRPr="00D0367E">
              <w:rPr>
                <w:rFonts w:ascii="Century Gothic" w:eastAsia="Times New Roman" w:hAnsi="Century Gothic" w:cs="Calibri"/>
                <w:b/>
                <w:bCs/>
                <w:color w:val="FFFFFF"/>
                <w:sz w:val="22"/>
                <w:szCs w:val="22"/>
                <w:lang w:val="en-US"/>
              </w:rPr>
              <w:t xml:space="preserve">TOTAL </w:t>
            </w:r>
          </w:p>
        </w:tc>
        <w:tc>
          <w:tcPr>
            <w:tcW w:w="2112" w:type="dxa"/>
            <w:tcBorders>
              <w:top w:val="nil"/>
              <w:left w:val="single" w:sz="4" w:space="0" w:color="auto"/>
              <w:bottom w:val="nil"/>
              <w:right w:val="single" w:sz="8" w:space="0" w:color="auto"/>
            </w:tcBorders>
            <w:shd w:val="clear" w:color="000000" w:fill="0070C0"/>
            <w:noWrap/>
            <w:vAlign w:val="bottom"/>
            <w:hideMark/>
          </w:tcPr>
          <w:p w:rsidR="00D0367E" w:rsidRPr="00D0367E" w:rsidRDefault="00D0367E" w:rsidP="00D0367E">
            <w:pPr>
              <w:jc w:val="center"/>
              <w:rPr>
                <w:rFonts w:ascii="Century Gothic" w:eastAsia="Times New Roman" w:hAnsi="Century Gothic" w:cs="Calibri"/>
                <w:b/>
                <w:bCs/>
                <w:color w:val="FFFFFF"/>
                <w:sz w:val="22"/>
                <w:szCs w:val="22"/>
                <w:lang w:val="en-US"/>
              </w:rPr>
            </w:pPr>
            <w:r w:rsidRPr="00D0367E">
              <w:rPr>
                <w:rFonts w:ascii="Century Gothic" w:eastAsia="Times New Roman" w:hAnsi="Century Gothic" w:cs="Calibri"/>
                <w:b/>
                <w:bCs/>
                <w:color w:val="FFFFFF"/>
                <w:sz w:val="22"/>
                <w:szCs w:val="22"/>
                <w:lang w:val="en-US"/>
              </w:rPr>
              <w:t>PORCENTAJE</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w:t>
            </w:r>
          </w:p>
        </w:tc>
        <w:tc>
          <w:tcPr>
            <w:tcW w:w="3420" w:type="dxa"/>
            <w:tcBorders>
              <w:top w:val="nil"/>
              <w:left w:val="nil"/>
              <w:bottom w:val="single" w:sz="4" w:space="0" w:color="auto"/>
              <w:right w:val="single" w:sz="4" w:space="0" w:color="auto"/>
            </w:tcBorders>
            <w:shd w:val="clear" w:color="auto" w:fill="auto"/>
            <w:vAlign w:val="center"/>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Agencia</w:t>
            </w:r>
            <w:proofErr w:type="spellEnd"/>
            <w:r w:rsidRPr="00D0367E">
              <w:rPr>
                <w:rFonts w:ascii="Arial" w:eastAsia="Times New Roman" w:hAnsi="Arial" w:cs="Arial"/>
                <w:lang w:val="en-US"/>
              </w:rPr>
              <w:t xml:space="preserve"> Central</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25,959</w:t>
            </w:r>
          </w:p>
        </w:tc>
        <w:tc>
          <w:tcPr>
            <w:tcW w:w="211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57.37%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Todos</w:t>
            </w:r>
            <w:proofErr w:type="spellEnd"/>
            <w:r w:rsidRPr="00D0367E">
              <w:rPr>
                <w:rFonts w:ascii="Arial" w:eastAsia="Times New Roman" w:hAnsi="Arial" w:cs="Arial"/>
                <w:lang w:val="en-US"/>
              </w:rPr>
              <w:t xml:space="preserve"> Santos </w:t>
            </w:r>
            <w:proofErr w:type="spellStart"/>
            <w:r w:rsidRPr="00D0367E">
              <w:rPr>
                <w:rFonts w:ascii="Arial" w:eastAsia="Times New Roman" w:hAnsi="Arial" w:cs="Arial"/>
                <w:lang w:val="en-US"/>
              </w:rPr>
              <w:t>Cuchumatán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136</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0.30%</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San Pedro la Laguna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294</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0.65%</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4</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Salamá</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273</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0.60%</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5</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Jutiapa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928</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2.05%</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6</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Chimaltenango</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1,615</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3.57%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7</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Quetzaltenango</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2,111</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4.67%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8</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Antigua Guatemala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1,879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4.15%</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9</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Villa Canales</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1,258</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2.78%</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10</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Huehuetenango</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1,159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2.56%</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11</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San Marcos</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737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1.63%</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12</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Tejutla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49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0.11%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13</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Retalhuleu</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421</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0.93%</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14</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Totonicapán</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203</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0.45%</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15</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Quiché</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318</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0.70%</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16</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Uspantán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86</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0.19%</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17</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Guastatoya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427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0.94%</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18</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 xml:space="preserve">Santa </w:t>
            </w:r>
            <w:proofErr w:type="spellStart"/>
            <w:r w:rsidRPr="00D0367E">
              <w:rPr>
                <w:rFonts w:ascii="Arial" w:eastAsia="Times New Roman" w:hAnsi="Arial" w:cs="Arial"/>
                <w:lang w:val="en-US"/>
              </w:rPr>
              <w:t>Lucía</w:t>
            </w:r>
            <w:proofErr w:type="spellEnd"/>
            <w:r w:rsidRPr="00D0367E">
              <w:rPr>
                <w:rFonts w:ascii="Arial" w:eastAsia="Times New Roman" w:hAnsi="Arial" w:cs="Arial"/>
                <w:lang w:val="en-US"/>
              </w:rPr>
              <w:t xml:space="preserve"> </w:t>
            </w:r>
            <w:proofErr w:type="spellStart"/>
            <w:r w:rsidRPr="00D0367E">
              <w:rPr>
                <w:rFonts w:ascii="Arial" w:eastAsia="Times New Roman" w:hAnsi="Arial" w:cs="Arial"/>
                <w:lang w:val="en-US"/>
              </w:rPr>
              <w:t>Cotzumalguapa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0</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0.00%</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19</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Cuilapa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276</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0.61%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20</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Barberena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185</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0.41%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21</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 xml:space="preserve">San Mateo </w:t>
            </w:r>
            <w:proofErr w:type="spellStart"/>
            <w:r w:rsidRPr="00D0367E">
              <w:rPr>
                <w:rFonts w:ascii="Arial" w:eastAsia="Times New Roman" w:hAnsi="Arial" w:cs="Arial"/>
                <w:lang w:val="en-US"/>
              </w:rPr>
              <w:t>Ixtatán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32</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0.07%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22</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Cobán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955</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2.11%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23</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Puerto Barrios</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417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0.92%</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24</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Morales</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169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0.37%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25</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Chiquimula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342</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0.76%</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26</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Jalapa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377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0.83%</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27</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San Juan Sacatepéquez</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494</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1.09%</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28</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Nueva Santa Rosa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89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0.20%</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29</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Amatitlán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845</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1.87%</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30</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La Unión</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222</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0.49%</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lastRenderedPageBreak/>
              <w:t>31</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Usumatlán</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110</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0.24%</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32</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Concepción las Minas</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237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0.52%</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33</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Fronteras</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34</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0.08%</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34</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Puerto San José</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94</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0.21%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35</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 xml:space="preserve">San José la </w:t>
            </w:r>
            <w:proofErr w:type="spellStart"/>
            <w:r w:rsidRPr="00D0367E">
              <w:rPr>
                <w:rFonts w:ascii="Arial" w:eastAsia="Times New Roman" w:hAnsi="Arial" w:cs="Arial"/>
                <w:lang w:val="en-US"/>
              </w:rPr>
              <w:t>Máquina</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707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1.56%</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36</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Escuintla</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945</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2.09%</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37</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proofErr w:type="spellStart"/>
            <w:r w:rsidRPr="00D0367E">
              <w:rPr>
                <w:rFonts w:ascii="Arial" w:eastAsia="Times New Roman" w:hAnsi="Arial" w:cs="Arial"/>
                <w:lang w:val="en-US"/>
              </w:rPr>
              <w:t>Ocós</w:t>
            </w:r>
            <w:proofErr w:type="spellEnd"/>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3</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0.01%</w:t>
            </w:r>
          </w:p>
        </w:tc>
      </w:tr>
      <w:tr w:rsidR="00D0367E" w:rsidRPr="00D0367E" w:rsidTr="00D0367E">
        <w:trPr>
          <w:trHeight w:val="330"/>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38</w:t>
            </w:r>
          </w:p>
        </w:tc>
        <w:tc>
          <w:tcPr>
            <w:tcW w:w="3420" w:type="dxa"/>
            <w:tcBorders>
              <w:top w:val="nil"/>
              <w:left w:val="nil"/>
              <w:bottom w:val="single" w:sz="4"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San Felipe</w:t>
            </w:r>
          </w:p>
        </w:tc>
        <w:tc>
          <w:tcPr>
            <w:tcW w:w="1356" w:type="dxa"/>
            <w:tcBorders>
              <w:top w:val="nil"/>
              <w:left w:val="single" w:sz="4" w:space="0" w:color="auto"/>
              <w:bottom w:val="single" w:sz="4"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93</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0.21%</w:t>
            </w:r>
          </w:p>
        </w:tc>
      </w:tr>
      <w:tr w:rsidR="00D0367E" w:rsidRPr="00D0367E" w:rsidTr="00D0367E">
        <w:trPr>
          <w:trHeight w:val="345"/>
          <w:jc w:val="center"/>
        </w:trPr>
        <w:tc>
          <w:tcPr>
            <w:tcW w:w="615" w:type="dxa"/>
            <w:tcBorders>
              <w:top w:val="nil"/>
              <w:left w:val="single" w:sz="8" w:space="0" w:color="auto"/>
              <w:bottom w:val="single" w:sz="4" w:space="0" w:color="auto"/>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39</w:t>
            </w:r>
          </w:p>
        </w:tc>
        <w:tc>
          <w:tcPr>
            <w:tcW w:w="3420" w:type="dxa"/>
            <w:tcBorders>
              <w:top w:val="nil"/>
              <w:left w:val="nil"/>
              <w:bottom w:val="single" w:sz="8"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San Francisco, Petén</w:t>
            </w:r>
          </w:p>
        </w:tc>
        <w:tc>
          <w:tcPr>
            <w:tcW w:w="1356" w:type="dxa"/>
            <w:tcBorders>
              <w:top w:val="nil"/>
              <w:left w:val="single" w:sz="4" w:space="0" w:color="auto"/>
              <w:bottom w:val="single" w:sz="8"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539</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1.19%</w:t>
            </w:r>
          </w:p>
        </w:tc>
      </w:tr>
      <w:tr w:rsidR="00D0367E" w:rsidRPr="00D0367E" w:rsidTr="00D0367E">
        <w:trPr>
          <w:trHeight w:val="345"/>
          <w:jc w:val="center"/>
        </w:trPr>
        <w:tc>
          <w:tcPr>
            <w:tcW w:w="615" w:type="dxa"/>
            <w:tcBorders>
              <w:top w:val="nil"/>
              <w:left w:val="single" w:sz="8" w:space="0" w:color="auto"/>
              <w:bottom w:val="nil"/>
              <w:right w:val="single" w:sz="4" w:space="0" w:color="auto"/>
            </w:tcBorders>
            <w:shd w:val="clear" w:color="auto" w:fill="auto"/>
            <w:noWrap/>
            <w:vAlign w:val="bottom"/>
            <w:hideMark/>
          </w:tcPr>
          <w:p w:rsidR="00D0367E" w:rsidRPr="00D0367E" w:rsidRDefault="00D0367E" w:rsidP="00D0367E">
            <w:pPr>
              <w:jc w:val="right"/>
              <w:rPr>
                <w:rFonts w:ascii="Calibri" w:eastAsia="Times New Roman" w:hAnsi="Calibri" w:cs="Calibri"/>
                <w:color w:val="000000"/>
                <w:lang w:val="en-US"/>
              </w:rPr>
            </w:pPr>
            <w:r w:rsidRPr="00D0367E">
              <w:rPr>
                <w:rFonts w:ascii="Calibri" w:eastAsia="Times New Roman" w:hAnsi="Calibri" w:cs="Calibri"/>
                <w:color w:val="000000"/>
                <w:lang w:val="en-US"/>
              </w:rPr>
              <w:t>40</w:t>
            </w:r>
          </w:p>
        </w:tc>
        <w:tc>
          <w:tcPr>
            <w:tcW w:w="3420" w:type="dxa"/>
            <w:tcBorders>
              <w:top w:val="nil"/>
              <w:left w:val="nil"/>
              <w:bottom w:val="single" w:sz="8" w:space="0" w:color="auto"/>
              <w:right w:val="single" w:sz="4" w:space="0" w:color="auto"/>
            </w:tcBorders>
            <w:shd w:val="clear" w:color="auto" w:fill="auto"/>
            <w:noWrap/>
            <w:vAlign w:val="bottom"/>
            <w:hideMark/>
          </w:tcPr>
          <w:p w:rsidR="00D0367E" w:rsidRPr="00D0367E" w:rsidRDefault="00D0367E" w:rsidP="00D0367E">
            <w:pPr>
              <w:rPr>
                <w:rFonts w:ascii="Arial" w:eastAsia="Times New Roman" w:hAnsi="Arial" w:cs="Arial"/>
                <w:lang w:val="en-US"/>
              </w:rPr>
            </w:pPr>
            <w:r w:rsidRPr="00D0367E">
              <w:rPr>
                <w:rFonts w:ascii="Arial" w:eastAsia="Times New Roman" w:hAnsi="Arial" w:cs="Arial"/>
                <w:lang w:val="en-US"/>
              </w:rPr>
              <w:t>Nuevo Palmar</w:t>
            </w:r>
          </w:p>
        </w:tc>
        <w:tc>
          <w:tcPr>
            <w:tcW w:w="1356" w:type="dxa"/>
            <w:tcBorders>
              <w:top w:val="single" w:sz="4" w:space="0" w:color="auto"/>
              <w:left w:val="single" w:sz="4" w:space="0" w:color="auto"/>
              <w:bottom w:val="single" w:sz="8" w:space="0" w:color="auto"/>
              <w:right w:val="nil"/>
            </w:tcBorders>
            <w:shd w:val="clear" w:color="000000" w:fill="9BC2E6"/>
            <w:noWrap/>
            <w:vAlign w:val="bottom"/>
            <w:hideMark/>
          </w:tcPr>
          <w:p w:rsidR="00D0367E" w:rsidRPr="00D0367E" w:rsidRDefault="00D0367E" w:rsidP="00D0367E">
            <w:pPr>
              <w:jc w:val="center"/>
              <w:rPr>
                <w:rFonts w:ascii="Arial" w:eastAsia="Times New Roman" w:hAnsi="Arial" w:cs="Arial"/>
                <w:lang w:val="en-US"/>
              </w:rPr>
            </w:pPr>
            <w:r w:rsidRPr="00D0367E">
              <w:rPr>
                <w:rFonts w:ascii="Arial" w:eastAsia="Times New Roman" w:hAnsi="Arial" w:cs="Arial"/>
                <w:lang w:val="en-US"/>
              </w:rPr>
              <w:t>227</w:t>
            </w:r>
          </w:p>
        </w:tc>
        <w:tc>
          <w:tcPr>
            <w:tcW w:w="2112" w:type="dxa"/>
            <w:tcBorders>
              <w:top w:val="nil"/>
              <w:left w:val="single" w:sz="4" w:space="0" w:color="auto"/>
              <w:bottom w:val="single" w:sz="4" w:space="0" w:color="auto"/>
              <w:right w:val="single" w:sz="4" w:space="0" w:color="auto"/>
            </w:tcBorders>
            <w:shd w:val="clear" w:color="000000" w:fill="9BC2E6"/>
            <w:noWrap/>
            <w:vAlign w:val="bottom"/>
            <w:hideMark/>
          </w:tcPr>
          <w:p w:rsidR="00D0367E" w:rsidRPr="00D0367E" w:rsidRDefault="00D0367E" w:rsidP="00D0367E">
            <w:pPr>
              <w:jc w:val="right"/>
              <w:rPr>
                <w:rFonts w:ascii="Arial" w:eastAsia="Times New Roman" w:hAnsi="Arial" w:cs="Arial"/>
                <w:color w:val="000000"/>
                <w:lang w:val="en-US"/>
              </w:rPr>
            </w:pPr>
            <w:r w:rsidRPr="00D0367E">
              <w:rPr>
                <w:rFonts w:ascii="Arial" w:eastAsia="Times New Roman" w:hAnsi="Arial" w:cs="Arial"/>
                <w:color w:val="000000"/>
                <w:lang w:val="en-US"/>
              </w:rPr>
              <w:t>0.50%</w:t>
            </w:r>
          </w:p>
        </w:tc>
      </w:tr>
      <w:tr w:rsidR="00D0367E" w:rsidRPr="00D0367E" w:rsidTr="00D0367E">
        <w:trPr>
          <w:trHeight w:val="330"/>
          <w:jc w:val="center"/>
        </w:trPr>
        <w:tc>
          <w:tcPr>
            <w:tcW w:w="4035"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0367E" w:rsidRPr="00D0367E" w:rsidRDefault="00D0367E" w:rsidP="00D0367E">
            <w:pPr>
              <w:jc w:val="center"/>
              <w:rPr>
                <w:rFonts w:ascii="Arial" w:eastAsia="Times New Roman" w:hAnsi="Arial" w:cs="Arial"/>
                <w:b/>
                <w:bCs/>
                <w:color w:val="000000"/>
                <w:lang w:val="en-US"/>
              </w:rPr>
            </w:pPr>
            <w:r w:rsidRPr="00D0367E">
              <w:rPr>
                <w:rFonts w:ascii="Arial" w:eastAsia="Times New Roman" w:hAnsi="Arial" w:cs="Arial"/>
                <w:b/>
                <w:bCs/>
                <w:color w:val="000000"/>
                <w:lang w:val="en-US"/>
              </w:rPr>
              <w:t>TOTAL</w:t>
            </w:r>
          </w:p>
        </w:tc>
        <w:tc>
          <w:tcPr>
            <w:tcW w:w="1356" w:type="dxa"/>
            <w:tcBorders>
              <w:top w:val="nil"/>
              <w:left w:val="nil"/>
              <w:bottom w:val="single" w:sz="8" w:space="0" w:color="auto"/>
              <w:right w:val="single" w:sz="8" w:space="0" w:color="auto"/>
            </w:tcBorders>
            <w:shd w:val="clear" w:color="auto" w:fill="auto"/>
            <w:noWrap/>
            <w:vAlign w:val="bottom"/>
            <w:hideMark/>
          </w:tcPr>
          <w:p w:rsidR="00D0367E" w:rsidRPr="00D0367E" w:rsidRDefault="00D0367E" w:rsidP="00D0367E">
            <w:pPr>
              <w:jc w:val="center"/>
              <w:rPr>
                <w:rFonts w:ascii="Arial" w:eastAsia="Times New Roman" w:hAnsi="Arial" w:cs="Arial"/>
                <w:b/>
                <w:bCs/>
                <w:color w:val="000000"/>
                <w:lang w:val="en-US"/>
              </w:rPr>
            </w:pPr>
            <w:r w:rsidRPr="00D0367E">
              <w:rPr>
                <w:rFonts w:ascii="Arial" w:eastAsia="Times New Roman" w:hAnsi="Arial" w:cs="Arial"/>
                <w:b/>
                <w:bCs/>
                <w:color w:val="000000"/>
                <w:lang w:val="en-US"/>
              </w:rPr>
              <w:t>45,245</w:t>
            </w:r>
          </w:p>
        </w:tc>
        <w:tc>
          <w:tcPr>
            <w:tcW w:w="2112" w:type="dxa"/>
            <w:tcBorders>
              <w:top w:val="nil"/>
              <w:left w:val="nil"/>
              <w:bottom w:val="nil"/>
              <w:right w:val="nil"/>
            </w:tcBorders>
            <w:shd w:val="clear" w:color="auto" w:fill="auto"/>
            <w:noWrap/>
            <w:vAlign w:val="bottom"/>
            <w:hideMark/>
          </w:tcPr>
          <w:p w:rsidR="00D0367E" w:rsidRPr="00D0367E" w:rsidRDefault="00D0367E" w:rsidP="00D0367E">
            <w:pPr>
              <w:jc w:val="center"/>
              <w:rPr>
                <w:rFonts w:ascii="Arial" w:eastAsia="Times New Roman" w:hAnsi="Arial" w:cs="Arial"/>
                <w:b/>
                <w:bCs/>
                <w:color w:val="000000"/>
                <w:lang w:val="en-US"/>
              </w:rPr>
            </w:pPr>
          </w:p>
        </w:tc>
      </w:tr>
    </w:tbl>
    <w:p w:rsidR="00792387" w:rsidRDefault="00792387" w:rsidP="00792387">
      <w:pPr>
        <w:rPr>
          <w:lang w:val="es-GT"/>
        </w:rPr>
      </w:pPr>
    </w:p>
    <w:p w:rsidR="006A5435" w:rsidRDefault="006A5435" w:rsidP="00792387">
      <w:pPr>
        <w:rPr>
          <w:rFonts w:ascii="Arial" w:hAnsi="Arial" w:cs="Arial"/>
        </w:rPr>
      </w:pPr>
    </w:p>
    <w:p w:rsidR="001705B5" w:rsidRDefault="001705B5" w:rsidP="00792387">
      <w:pPr>
        <w:rPr>
          <w:rFonts w:ascii="Arial" w:hAnsi="Arial" w:cs="Arial"/>
        </w:rPr>
      </w:pPr>
    </w:p>
    <w:p w:rsidR="00D0367E" w:rsidRPr="00D0367E" w:rsidRDefault="00D0367E" w:rsidP="00D0367E">
      <w:pPr>
        <w:spacing w:line="360" w:lineRule="auto"/>
        <w:jc w:val="both"/>
        <w:rPr>
          <w:rFonts w:ascii="Arial" w:hAnsi="Arial" w:cs="Arial"/>
          <w:lang w:val="es-GT"/>
        </w:rPr>
      </w:pPr>
      <w:r w:rsidRPr="00D0367E">
        <w:rPr>
          <w:rFonts w:ascii="Arial" w:hAnsi="Arial" w:cs="Arial"/>
          <w:lang w:val="es-GT"/>
        </w:rPr>
        <w:t xml:space="preserve">Según la pertenencia étnica de los beneficiarios del servicio postal; el 19.66% pertenecen al pueblo Maya, el 0.45% al pueblo Garífuna, el 2.56% al pueblo </w:t>
      </w:r>
      <w:proofErr w:type="spellStart"/>
      <w:r w:rsidRPr="00D0367E">
        <w:rPr>
          <w:rFonts w:ascii="Arial" w:hAnsi="Arial" w:cs="Arial"/>
          <w:lang w:val="es-GT"/>
        </w:rPr>
        <w:t>Xinka</w:t>
      </w:r>
      <w:proofErr w:type="spellEnd"/>
      <w:r w:rsidRPr="00D0367E">
        <w:rPr>
          <w:rFonts w:ascii="Arial" w:hAnsi="Arial" w:cs="Arial"/>
          <w:lang w:val="es-GT"/>
        </w:rPr>
        <w:t>, y el 77.33% a la población ladina; la mayoría de la población maya beneficiada por el servicio postal se atendió en la Agencia Central, Antigua Guatemala, Quetzaltenango, Villa Canales, Chimaltenango, Huehuetenango, y Amatitlán; tal como se presenta en la gráfica 3.</w:t>
      </w: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D0367E">
      <w:pPr>
        <w:jc w:val="center"/>
        <w:rPr>
          <w:rFonts w:ascii="Arial" w:hAnsi="Arial" w:cs="Arial"/>
        </w:rPr>
      </w:pPr>
      <w:r>
        <w:rPr>
          <w:noProof/>
          <w:lang w:val="es-GT" w:eastAsia="es-GT"/>
        </w:rPr>
        <w:lastRenderedPageBreak/>
        <w:drawing>
          <wp:inline distT="0" distB="0" distL="0" distR="0" wp14:anchorId="48DA984E" wp14:editId="13C09C21">
            <wp:extent cx="4638675"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D0367E" w:rsidRDefault="00D0367E" w:rsidP="00792387">
      <w:pPr>
        <w:rPr>
          <w:rFonts w:ascii="Arial" w:hAnsi="Arial" w:cs="Arial"/>
        </w:rPr>
      </w:pPr>
    </w:p>
    <w:p w:rsidR="00792387" w:rsidRDefault="00792387" w:rsidP="00792387">
      <w:pPr>
        <w:pStyle w:val="Ttulo2"/>
        <w:jc w:val="center"/>
        <w:rPr>
          <w:rFonts w:cs="Arial"/>
          <w:sz w:val="24"/>
          <w:szCs w:val="24"/>
        </w:rPr>
      </w:pPr>
      <w:bookmarkStart w:id="6" w:name="_Toc160201967"/>
      <w:r w:rsidRPr="00267B92">
        <w:rPr>
          <w:rFonts w:cs="Arial"/>
          <w:sz w:val="24"/>
          <w:szCs w:val="24"/>
        </w:rPr>
        <w:t>Gráfic</w:t>
      </w:r>
      <w:r>
        <w:rPr>
          <w:rFonts w:cs="Arial"/>
          <w:sz w:val="24"/>
          <w:szCs w:val="24"/>
        </w:rPr>
        <w:t>a</w:t>
      </w:r>
      <w:r w:rsidRPr="00267B92">
        <w:rPr>
          <w:rFonts w:cs="Arial"/>
          <w:sz w:val="24"/>
          <w:szCs w:val="24"/>
        </w:rPr>
        <w:t xml:space="preserve"> </w:t>
      </w:r>
      <w:r w:rsidR="005D0231">
        <w:rPr>
          <w:rFonts w:cs="Arial"/>
          <w:sz w:val="24"/>
          <w:szCs w:val="24"/>
        </w:rPr>
        <w:t>3</w:t>
      </w:r>
      <w:r w:rsidRPr="00267B92">
        <w:rPr>
          <w:rFonts w:cs="Arial"/>
          <w:sz w:val="24"/>
          <w:szCs w:val="24"/>
        </w:rPr>
        <w:t>: Beneficiarios del servicio postal según pertenencia</w:t>
      </w:r>
      <w:r>
        <w:rPr>
          <w:rFonts w:cs="Arial"/>
          <w:sz w:val="24"/>
          <w:szCs w:val="24"/>
        </w:rPr>
        <w:t xml:space="preserve"> étnica</w:t>
      </w:r>
      <w:bookmarkEnd w:id="6"/>
    </w:p>
    <w:p w:rsidR="00792387" w:rsidRDefault="00792387" w:rsidP="00792387">
      <w:pPr>
        <w:rPr>
          <w:lang w:val="es-GT"/>
        </w:rPr>
      </w:pPr>
    </w:p>
    <w:p w:rsidR="00C56627" w:rsidRDefault="00C56627" w:rsidP="00792387">
      <w:pPr>
        <w:rPr>
          <w:lang w:val="es-GT"/>
        </w:rPr>
      </w:pPr>
    </w:p>
    <w:p w:rsidR="00C56627" w:rsidRDefault="00C56627" w:rsidP="00DA7710">
      <w:pPr>
        <w:jc w:val="center"/>
        <w:rPr>
          <w:lang w:val="es-GT"/>
        </w:rPr>
      </w:pPr>
    </w:p>
    <w:sectPr w:rsidR="00C56627" w:rsidSect="00200E53">
      <w:type w:val="continuous"/>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78" w:rsidRDefault="00981978" w:rsidP="007750FD">
      <w:r>
        <w:separator/>
      </w:r>
    </w:p>
  </w:endnote>
  <w:endnote w:type="continuationSeparator" w:id="0">
    <w:p w:rsidR="00981978" w:rsidRDefault="00981978"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78" w:rsidRDefault="00981978" w:rsidP="007750FD">
      <w:r>
        <w:separator/>
      </w:r>
    </w:p>
  </w:footnote>
  <w:footnote w:type="continuationSeparator" w:id="0">
    <w:p w:rsidR="00981978" w:rsidRDefault="00981978"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FD" w:rsidRDefault="007750FD">
    <w:pPr>
      <w:pStyle w:val="Encabezado"/>
    </w:pPr>
    <w:r>
      <w:rPr>
        <w:noProof/>
        <w:lang w:val="es-GT" w:eastAsia="es-GT"/>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FD"/>
    <w:rsid w:val="00024B62"/>
    <w:rsid w:val="00070796"/>
    <w:rsid w:val="0008290D"/>
    <w:rsid w:val="00083D8A"/>
    <w:rsid w:val="00085856"/>
    <w:rsid w:val="000A27C5"/>
    <w:rsid w:val="000A7286"/>
    <w:rsid w:val="000B7AA7"/>
    <w:rsid w:val="000D4513"/>
    <w:rsid w:val="000D74C1"/>
    <w:rsid w:val="001212C9"/>
    <w:rsid w:val="00124376"/>
    <w:rsid w:val="00150D62"/>
    <w:rsid w:val="001705B5"/>
    <w:rsid w:val="001956A5"/>
    <w:rsid w:val="001D4CCF"/>
    <w:rsid w:val="001F7552"/>
    <w:rsid w:val="00200E53"/>
    <w:rsid w:val="00216A24"/>
    <w:rsid w:val="00216F9C"/>
    <w:rsid w:val="00241D79"/>
    <w:rsid w:val="00242146"/>
    <w:rsid w:val="00245B95"/>
    <w:rsid w:val="00263CAE"/>
    <w:rsid w:val="00266855"/>
    <w:rsid w:val="0027232A"/>
    <w:rsid w:val="00272490"/>
    <w:rsid w:val="002874AE"/>
    <w:rsid w:val="002E2FA9"/>
    <w:rsid w:val="002F5AF8"/>
    <w:rsid w:val="00340CFA"/>
    <w:rsid w:val="00343CD0"/>
    <w:rsid w:val="00356C32"/>
    <w:rsid w:val="003658EF"/>
    <w:rsid w:val="0037125A"/>
    <w:rsid w:val="00374E3B"/>
    <w:rsid w:val="003A286A"/>
    <w:rsid w:val="003E338D"/>
    <w:rsid w:val="0045624D"/>
    <w:rsid w:val="0047171E"/>
    <w:rsid w:val="00484BB1"/>
    <w:rsid w:val="00494666"/>
    <w:rsid w:val="004C22ED"/>
    <w:rsid w:val="00515D1B"/>
    <w:rsid w:val="00534BDA"/>
    <w:rsid w:val="00572C64"/>
    <w:rsid w:val="00585D70"/>
    <w:rsid w:val="005C3D64"/>
    <w:rsid w:val="005D0231"/>
    <w:rsid w:val="0060752C"/>
    <w:rsid w:val="0066225E"/>
    <w:rsid w:val="006A2468"/>
    <w:rsid w:val="006A5435"/>
    <w:rsid w:val="006B33BC"/>
    <w:rsid w:val="006B7788"/>
    <w:rsid w:val="006C205B"/>
    <w:rsid w:val="006F7A52"/>
    <w:rsid w:val="00756C83"/>
    <w:rsid w:val="007750FD"/>
    <w:rsid w:val="007848CE"/>
    <w:rsid w:val="00792387"/>
    <w:rsid w:val="008159CD"/>
    <w:rsid w:val="0083404C"/>
    <w:rsid w:val="00847EDE"/>
    <w:rsid w:val="00861292"/>
    <w:rsid w:val="008971C5"/>
    <w:rsid w:val="008A4BFB"/>
    <w:rsid w:val="008A60BB"/>
    <w:rsid w:val="008C67AC"/>
    <w:rsid w:val="009008E6"/>
    <w:rsid w:val="00922805"/>
    <w:rsid w:val="00941DAF"/>
    <w:rsid w:val="009737A4"/>
    <w:rsid w:val="00981978"/>
    <w:rsid w:val="00993B59"/>
    <w:rsid w:val="009A68DD"/>
    <w:rsid w:val="009F434C"/>
    <w:rsid w:val="00A0259A"/>
    <w:rsid w:val="00A02C2B"/>
    <w:rsid w:val="00A26871"/>
    <w:rsid w:val="00A317D0"/>
    <w:rsid w:val="00A32F71"/>
    <w:rsid w:val="00A65668"/>
    <w:rsid w:val="00A971CD"/>
    <w:rsid w:val="00AB6E0D"/>
    <w:rsid w:val="00AD0DAD"/>
    <w:rsid w:val="00AD755E"/>
    <w:rsid w:val="00B11DF8"/>
    <w:rsid w:val="00B33736"/>
    <w:rsid w:val="00B94959"/>
    <w:rsid w:val="00BC07F3"/>
    <w:rsid w:val="00C0141F"/>
    <w:rsid w:val="00C153C7"/>
    <w:rsid w:val="00C56627"/>
    <w:rsid w:val="00C616F6"/>
    <w:rsid w:val="00C66DB8"/>
    <w:rsid w:val="00C95564"/>
    <w:rsid w:val="00CA4063"/>
    <w:rsid w:val="00CA7FCA"/>
    <w:rsid w:val="00CB7677"/>
    <w:rsid w:val="00CC2F8A"/>
    <w:rsid w:val="00CD6B56"/>
    <w:rsid w:val="00CF2FA3"/>
    <w:rsid w:val="00CF3B10"/>
    <w:rsid w:val="00CF5F5F"/>
    <w:rsid w:val="00D0367E"/>
    <w:rsid w:val="00D12858"/>
    <w:rsid w:val="00D30E8D"/>
    <w:rsid w:val="00DA7710"/>
    <w:rsid w:val="00DF1B93"/>
    <w:rsid w:val="00DF1DD0"/>
    <w:rsid w:val="00DF5C3F"/>
    <w:rsid w:val="00E271F8"/>
    <w:rsid w:val="00E44CC7"/>
    <w:rsid w:val="00E54799"/>
    <w:rsid w:val="00E65279"/>
    <w:rsid w:val="00E84E83"/>
    <w:rsid w:val="00EA1BA8"/>
    <w:rsid w:val="00F351C1"/>
    <w:rsid w:val="00FA2D7F"/>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 w:type="table" w:customStyle="1" w:styleId="GridTable4Accent1">
    <w:name w:val="Grid Table 4 Accent 1"/>
    <w:basedOn w:val="Tablanormal"/>
    <w:uiPriority w:val="49"/>
    <w:rsid w:val="00A971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 w:type="table" w:customStyle="1" w:styleId="GridTable4Accent1">
    <w:name w:val="Grid Table 4 Accent 1"/>
    <w:basedOn w:val="Tablanormal"/>
    <w:uiPriority w:val="49"/>
    <w:rsid w:val="00A971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45718">
      <w:bodyDiv w:val="1"/>
      <w:marLeft w:val="0"/>
      <w:marRight w:val="0"/>
      <w:marTop w:val="0"/>
      <w:marBottom w:val="0"/>
      <w:divBdr>
        <w:top w:val="none" w:sz="0" w:space="0" w:color="auto"/>
        <w:left w:val="none" w:sz="0" w:space="0" w:color="auto"/>
        <w:bottom w:val="none" w:sz="0" w:space="0" w:color="auto"/>
        <w:right w:val="none" w:sz="0" w:space="0" w:color="auto"/>
      </w:divBdr>
    </w:div>
    <w:div w:id="724841324">
      <w:bodyDiv w:val="1"/>
      <w:marLeft w:val="0"/>
      <w:marRight w:val="0"/>
      <w:marTop w:val="0"/>
      <w:marBottom w:val="0"/>
      <w:divBdr>
        <w:top w:val="none" w:sz="0" w:space="0" w:color="auto"/>
        <w:left w:val="none" w:sz="0" w:space="0" w:color="auto"/>
        <w:bottom w:val="none" w:sz="0" w:space="0" w:color="auto"/>
        <w:right w:val="none" w:sz="0" w:space="0" w:color="auto"/>
      </w:divBdr>
    </w:div>
    <w:div w:id="1920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enato%20Ayala\Desktop\RENATO\CONTROL%20DE%20GESTION%20ABRIL%202024\INFORME%20ABRIL%202024\INFORME%20DE%20OPERACIONES\No.%20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nato%20Ayala\Desktop\RENATO\CONTROL%20DE%20GESTION%20ABRIL%202024\INFORME%20ABRIL%202024\INFORME%20DE%20OPERACIONES\No.%20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nato%20Ayala\Desktop\RENATO\CONTROL%20DE%20GESTION%20ABRIL%202024\INFORME%20ABRIL%202024\INFORME%20DE%20OPERACIONES\No.%2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tOTAL POR REGION</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710-4398-A08E-17D7713C5D3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710-4398-A08E-17D7713C5D3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710-4398-A08E-17D7713C5D3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710-4398-A08E-17D7713C5D3C}"/>
              </c:ext>
            </c:extLst>
          </c:dPt>
          <c:dLbls>
            <c:dLbl>
              <c:idx val="0"/>
              <c:layout>
                <c:manualLayout>
                  <c:x val="-0.20605417970666554"/>
                  <c:y val="-0.1573456815307413"/>
                </c:manualLayout>
              </c:layout>
              <c:tx>
                <c:rich>
                  <a:bodyPr/>
                  <a:lstStyle/>
                  <a:p>
                    <a:r>
                      <a:rPr lang="en-US"/>
                      <a:t>63.11%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10-4398-A08E-17D7713C5D3C}"/>
                </c:ext>
              </c:extLst>
            </c:dLbl>
            <c:dLbl>
              <c:idx val="1"/>
              <c:layout>
                <c:manualLayout>
                  <c:x val="0.12899809206013385"/>
                  <c:y val="-7.0131873261816399E-2"/>
                </c:manualLayout>
              </c:layout>
              <c:tx>
                <c:rich>
                  <a:bodyPr/>
                  <a:lstStyle/>
                  <a:p>
                    <a:r>
                      <a:rPr lang="en-US"/>
                      <a:t>10.71%</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10-4398-A08E-17D7713C5D3C}"/>
                </c:ext>
              </c:extLst>
            </c:dLbl>
            <c:dLbl>
              <c:idx val="2"/>
              <c:layout>
                <c:manualLayout>
                  <c:x val="0.12770322248146543"/>
                  <c:y val="5.3645192594731439E-2"/>
                </c:manualLayout>
              </c:layout>
              <c:tx>
                <c:rich>
                  <a:bodyPr/>
                  <a:lstStyle/>
                  <a:p>
                    <a:r>
                      <a:rPr lang="en-US"/>
                      <a:t>10.02%</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10-4398-A08E-17D7713C5D3C}"/>
                </c:ext>
              </c:extLst>
            </c:dLbl>
            <c:dLbl>
              <c:idx val="3"/>
              <c:layout>
                <c:manualLayout>
                  <c:x val="0.1018847840612328"/>
                  <c:y val="0.17204302475443659"/>
                </c:manualLayout>
              </c:layout>
              <c:tx>
                <c:rich>
                  <a:bodyPr/>
                  <a:lstStyle/>
                  <a:p>
                    <a:r>
                      <a:rPr lang="en-US"/>
                      <a:t>16.16%</a:t>
                    </a:r>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10-4398-A08E-17D7713C5D3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G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'G2 regiones_m'!$C$7:$C$10</c:f>
              <c:strCache>
                <c:ptCount val="4"/>
                <c:pt idx="0">
                  <c:v>METRO POLITANO</c:v>
                </c:pt>
                <c:pt idx="1">
                  <c:v>SUR OCCIDENTE</c:v>
                </c:pt>
                <c:pt idx="2">
                  <c:v>CENTRAL</c:v>
                </c:pt>
                <c:pt idx="3">
                  <c:v>RESTO DE LA POBLACION</c:v>
                </c:pt>
              </c:strCache>
            </c:strRef>
          </c:cat>
          <c:val>
            <c:numRef>
              <c:f>'G2 regiones_m'!$E$7:$E$10</c:f>
              <c:numCache>
                <c:formatCode>0.00%</c:formatCode>
                <c:ptCount val="4"/>
                <c:pt idx="0">
                  <c:v>0.63114156260360266</c:v>
                </c:pt>
                <c:pt idx="1">
                  <c:v>0.1070836556525583</c:v>
                </c:pt>
                <c:pt idx="2">
                  <c:v>0.10018786606254834</c:v>
                </c:pt>
                <c:pt idx="3">
                  <c:v>0.16159999999999999</c:v>
                </c:pt>
              </c:numCache>
            </c:numRef>
          </c:val>
          <c:extLst xmlns:c16r2="http://schemas.microsoft.com/office/drawing/2015/06/chart">
            <c:ext xmlns:c16="http://schemas.microsoft.com/office/drawing/2014/chart" uri="{C3380CC4-5D6E-409C-BE32-E72D297353CC}">
              <c16:uniqueId val="{00000008-F710-4398-A08E-17D7713C5D3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A539-4A6F-BC60-93C8E7C015D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A539-4A6F-BC60-93C8E7C015DD}"/>
              </c:ext>
            </c:extLst>
          </c:dPt>
          <c:dLbls>
            <c:dLbl>
              <c:idx val="0"/>
              <c:tx>
                <c:rich>
                  <a:bodyPr/>
                  <a:lstStyle/>
                  <a:p>
                    <a:r>
                      <a:rPr lang="en-US" sz="1200"/>
                      <a:t>Hombres</a:t>
                    </a:r>
                    <a:r>
                      <a:rPr lang="en-US" sz="1200" baseline="0"/>
                      <a:t>
55.44 %</a:t>
                    </a:r>
                  </a:p>
                </c:rich>
              </c:tx>
              <c:dLblPos val="ctr"/>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A539-4A6F-BC60-93C8E7C015DD}"/>
                </c:ext>
              </c:extLst>
            </c:dLbl>
            <c:dLbl>
              <c:idx val="1"/>
              <c:tx>
                <c:rich>
                  <a:bodyPr/>
                  <a:lstStyle/>
                  <a:p>
                    <a:r>
                      <a:rPr lang="en-US" sz="1200"/>
                      <a:t>Mujeres</a:t>
                    </a:r>
                    <a:r>
                      <a:rPr lang="en-US" sz="1200" baseline="0"/>
                      <a:t>
44.05 %</a:t>
                    </a:r>
                  </a:p>
                </c:rich>
              </c:tx>
              <c:dLblPos val="ctr"/>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A539-4A6F-BC60-93C8E7C015D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GT"/>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'G1 género'!$B$4:$C$4</c:f>
              <c:strCache>
                <c:ptCount val="2"/>
                <c:pt idx="0">
                  <c:v>MASCULINO</c:v>
                </c:pt>
                <c:pt idx="1">
                  <c:v>FEMENINO</c:v>
                </c:pt>
              </c:strCache>
            </c:strRef>
          </c:cat>
          <c:val>
            <c:numRef>
              <c:f>'G1 género'!$B$5:$C$5</c:f>
              <c:numCache>
                <c:formatCode>#,##0</c:formatCode>
                <c:ptCount val="2"/>
                <c:pt idx="0">
                  <c:v>55.44</c:v>
                </c:pt>
                <c:pt idx="1">
                  <c:v>44.05</c:v>
                </c:pt>
              </c:numCache>
            </c:numRef>
          </c:val>
          <c:extLst xmlns:c16r2="http://schemas.microsoft.com/office/drawing/2015/06/chart">
            <c:ext xmlns:c16="http://schemas.microsoft.com/office/drawing/2014/chart" uri="{C3380CC4-5D6E-409C-BE32-E72D297353CC}">
              <c16:uniqueId val="{00000004-A539-4A6F-BC60-93C8E7C015DD}"/>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tx1">
                <a:lumMod val="75000"/>
                <a:lumOff val="25000"/>
              </a:schemeClr>
            </a:solidFill>
            <a:ln>
              <a:solidFill>
                <a:schemeClr val="accent1">
                  <a:lumMod val="60000"/>
                  <a:lumOff val="40000"/>
                </a:schemeClr>
              </a:solidFill>
            </a:ln>
            <a:effectLst/>
            <a:scene3d>
              <a:camera prst="orthographicFront"/>
              <a:lightRig rig="threePt" dir="t"/>
            </a:scene3d>
            <a:sp3d prstMaterial="powder">
              <a:bevelT w="139700" h="139700" prst="divot"/>
              <a:bevelB w="139700" h="139700" prst="divot"/>
              <a:contourClr>
                <a:schemeClr val="accent1">
                  <a:lumMod val="60000"/>
                  <a:lumOff val="40000"/>
                </a:schemeClr>
              </a:contourClr>
            </a:sp3d>
          </c:spPr>
          <c:invertIfNegative val="0"/>
          <c:dLbls>
            <c:dLbl>
              <c:idx val="0"/>
              <c:layout>
                <c:manualLayout>
                  <c:x val="2.7777777777777779E-3"/>
                  <c:y val="-3.7037037037037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16D-4100-9790-7FA023C43908}"/>
                </c:ext>
              </c:extLst>
            </c:dLbl>
            <c:dLbl>
              <c:idx val="1"/>
              <c:layout>
                <c:manualLayout>
                  <c:x val="2.7777777777777776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6D-4100-9790-7FA023C43908}"/>
                </c:ext>
              </c:extLst>
            </c:dLbl>
            <c:dLbl>
              <c:idx val="2"/>
              <c:layout>
                <c:manualLayout>
                  <c:x val="8.3333333333333332E-3"/>
                  <c:y val="-3.70370370370371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6D-4100-9790-7FA023C43908}"/>
                </c:ext>
              </c:extLst>
            </c:dLbl>
            <c:dLbl>
              <c:idx val="3"/>
              <c:layout>
                <c:manualLayout>
                  <c:x val="8.3333333333333332E-3"/>
                  <c:y val="-4.16666666666666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6D-4100-9790-7FA023C4390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 étnia_m'!$B$3:$E$3</c:f>
              <c:strCache>
                <c:ptCount val="4"/>
                <c:pt idx="0">
                  <c:v>MAYA</c:v>
                </c:pt>
                <c:pt idx="1">
                  <c:v>GARIFUNA</c:v>
                </c:pt>
                <c:pt idx="2">
                  <c:v>XINKA</c:v>
                </c:pt>
                <c:pt idx="3">
                  <c:v>OTROS</c:v>
                </c:pt>
              </c:strCache>
            </c:strRef>
          </c:cat>
          <c:val>
            <c:numRef>
              <c:f>'G3 étnia_m'!$B$5:$E$5</c:f>
              <c:numCache>
                <c:formatCode>0.00%</c:formatCode>
                <c:ptCount val="4"/>
                <c:pt idx="0">
                  <c:v>0.19655675765277938</c:v>
                </c:pt>
                <c:pt idx="1">
                  <c:v>4.5275389545806153E-3</c:v>
                </c:pt>
                <c:pt idx="2">
                  <c:v>2.560254171731683E-2</c:v>
                </c:pt>
                <c:pt idx="3">
                  <c:v>0.77331316167532305</c:v>
                </c:pt>
              </c:numCache>
            </c:numRef>
          </c:val>
          <c:extLst xmlns:c16r2="http://schemas.microsoft.com/office/drawing/2015/06/chart">
            <c:ext xmlns:c16="http://schemas.microsoft.com/office/drawing/2014/chart" uri="{C3380CC4-5D6E-409C-BE32-E72D297353CC}">
              <c16:uniqueId val="{00000004-316D-4100-9790-7FA023C43908}"/>
            </c:ext>
          </c:extLst>
        </c:ser>
        <c:dLbls>
          <c:showLegendKey val="0"/>
          <c:showVal val="1"/>
          <c:showCatName val="0"/>
          <c:showSerName val="0"/>
          <c:showPercent val="0"/>
          <c:showBubbleSize val="0"/>
        </c:dLbls>
        <c:gapWidth val="150"/>
        <c:shape val="box"/>
        <c:axId val="248725888"/>
        <c:axId val="248728576"/>
        <c:axId val="0"/>
      </c:bar3DChart>
      <c:catAx>
        <c:axId val="248725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248728576"/>
        <c:crosses val="autoZero"/>
        <c:auto val="1"/>
        <c:lblAlgn val="ctr"/>
        <c:lblOffset val="100"/>
        <c:noMultiLvlLbl val="0"/>
      </c:catAx>
      <c:valAx>
        <c:axId val="248728576"/>
        <c:scaling>
          <c:orientation val="minMax"/>
        </c:scaling>
        <c:delete val="1"/>
        <c:axPos val="l"/>
        <c:numFmt formatCode="0.00%" sourceLinked="1"/>
        <c:majorTickMark val="none"/>
        <c:minorTickMark val="none"/>
        <c:tickLblPos val="nextTo"/>
        <c:crossAx val="24872588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Francisco Renato Ayala Prieto</cp:lastModifiedBy>
  <cp:revision>3</cp:revision>
  <cp:lastPrinted>2024-07-04T13:42:00Z</cp:lastPrinted>
  <dcterms:created xsi:type="dcterms:W3CDTF">2024-07-04T03:48:00Z</dcterms:created>
  <dcterms:modified xsi:type="dcterms:W3CDTF">2024-07-04T13:43:00Z</dcterms:modified>
</cp:coreProperties>
</file>